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183BF" w14:textId="71ABF354" w:rsidR="00CE37DE" w:rsidRPr="002B220C" w:rsidRDefault="006E7AD6" w:rsidP="00EC4E44">
      <w:pPr>
        <w:spacing w:after="120"/>
        <w:jc w:val="cente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Call for applications</w:t>
      </w:r>
    </w:p>
    <w:p w14:paraId="488B14DC" w14:textId="77777777" w:rsidR="0071105B" w:rsidRPr="002B220C" w:rsidRDefault="0071105B" w:rsidP="007678DD">
      <w:pPr>
        <w:jc w:val="both"/>
        <w:rPr>
          <w:lang w:val="en-GB"/>
        </w:rPr>
      </w:pPr>
    </w:p>
    <w:p w14:paraId="3575EDD9" w14:textId="470E9AC8" w:rsidR="0071105B" w:rsidRPr="002B220C" w:rsidRDefault="002B333A" w:rsidP="007678DD">
      <w:pPr>
        <w:jc w:val="both"/>
        <w:rPr>
          <w:lang w:val="en-GB"/>
        </w:rPr>
      </w:pPr>
      <w:r w:rsidRPr="002B220C">
        <w:rPr>
          <w:lang w:val="en-GB"/>
        </w:rPr>
        <w:t>EUR O</w:t>
      </w:r>
      <w:r w:rsidR="00CF574C">
        <w:rPr>
          <w:lang w:val="en-GB"/>
        </w:rPr>
        <w:t>D</w:t>
      </w:r>
      <w:bookmarkStart w:id="0" w:name="_GoBack"/>
      <w:bookmarkEnd w:id="0"/>
      <w:r w:rsidRPr="002B220C">
        <w:rPr>
          <w:lang w:val="en-GB"/>
        </w:rPr>
        <w:t>YSSEE</w:t>
      </w:r>
      <w:r w:rsidR="00AC1CC5" w:rsidRPr="002B220C">
        <w:rPr>
          <w:lang w:val="en-GB"/>
        </w:rPr>
        <w:t xml:space="preserve"> </w:t>
      </w:r>
      <w:r w:rsidR="006E7AD6" w:rsidRPr="002B220C">
        <w:rPr>
          <w:lang w:val="en-GB"/>
        </w:rPr>
        <w:t>opens a call for applications for a Ph.D. contract of a duration of 36 months</w:t>
      </w:r>
      <w:r w:rsidR="0071105B" w:rsidRPr="002B220C">
        <w:rPr>
          <w:lang w:val="en-GB"/>
        </w:rPr>
        <w:t xml:space="preserve"> </w:t>
      </w:r>
      <w:r w:rsidR="006E7AD6" w:rsidRPr="002B220C">
        <w:rPr>
          <w:lang w:val="en-GB"/>
        </w:rPr>
        <w:t>starting October 1</w:t>
      </w:r>
      <w:r w:rsidR="006E7AD6" w:rsidRPr="002B220C">
        <w:rPr>
          <w:vertAlign w:val="superscript"/>
          <w:lang w:val="en-GB"/>
        </w:rPr>
        <w:t>st</w:t>
      </w:r>
      <w:r w:rsidR="006E7AD6" w:rsidRPr="002B220C">
        <w:rPr>
          <w:lang w:val="en-GB"/>
        </w:rPr>
        <w:t xml:space="preserve">, </w:t>
      </w:r>
      <w:r w:rsidR="0071105B" w:rsidRPr="002B220C">
        <w:rPr>
          <w:lang w:val="en-GB"/>
        </w:rPr>
        <w:t>2020</w:t>
      </w:r>
      <w:r w:rsidR="007F5875" w:rsidRPr="002B220C">
        <w:rPr>
          <w:lang w:val="en-GB"/>
        </w:rPr>
        <w:t xml:space="preserve"> in </w:t>
      </w:r>
      <w:r w:rsidR="006E7AD6" w:rsidRPr="002B220C">
        <w:rPr>
          <w:b/>
          <w:lang w:val="en-GB"/>
        </w:rPr>
        <w:t xml:space="preserve">prehistoric </w:t>
      </w:r>
      <w:r w:rsidR="00210E2F" w:rsidRPr="002B220C">
        <w:rPr>
          <w:b/>
          <w:lang w:val="en-GB"/>
        </w:rPr>
        <w:t>pyrotechnolog</w:t>
      </w:r>
      <w:r w:rsidR="006E7AD6" w:rsidRPr="002B220C">
        <w:rPr>
          <w:b/>
          <w:lang w:val="en-GB"/>
        </w:rPr>
        <w:t>y</w:t>
      </w:r>
      <w:r w:rsidR="007F5875" w:rsidRPr="002B220C">
        <w:rPr>
          <w:b/>
          <w:lang w:val="en-GB"/>
        </w:rPr>
        <w:t xml:space="preserve">. </w:t>
      </w:r>
      <w:r w:rsidR="007F5875" w:rsidRPr="002B220C">
        <w:rPr>
          <w:lang w:val="en-GB"/>
        </w:rPr>
        <w:t>The research will be carried out at the CEPAM laboratory (Nice, France) under the supervision of Isabelle THÉRY-PARISOT and Auréade HENRY.</w:t>
      </w:r>
    </w:p>
    <w:p w14:paraId="13C10C2D" w14:textId="77777777" w:rsidR="0071105B" w:rsidRPr="002B220C" w:rsidRDefault="0071105B" w:rsidP="007678DD">
      <w:pPr>
        <w:jc w:val="both"/>
        <w:rPr>
          <w:lang w:val="en-GB"/>
        </w:rPr>
      </w:pPr>
    </w:p>
    <w:p w14:paraId="69B9F048" w14:textId="248C276A" w:rsidR="002B333A" w:rsidRPr="002B220C" w:rsidRDefault="006E7AD6" w:rsidP="007678DD">
      <w:pPr>
        <w:jc w:val="both"/>
        <w:rPr>
          <w:rFonts w:ascii="Arial Narrow" w:hAnsi="Arial Narrow"/>
          <w:b/>
          <w:color w:val="31849B" w:themeColor="accent5" w:themeShade="BF"/>
          <w:lang w:val="en-GB"/>
        </w:rPr>
      </w:pPr>
      <w:r w:rsidRPr="002B220C">
        <w:rPr>
          <w:rFonts w:ascii="Arial Narrow" w:hAnsi="Arial Narrow"/>
          <w:b/>
          <w:bCs/>
          <w:color w:val="31849B" w:themeColor="accent5" w:themeShade="BF"/>
          <w:lang w:val="en-GB"/>
        </w:rPr>
        <w:t>Proce</w:t>
      </w:r>
      <w:r w:rsidR="002B333A" w:rsidRPr="002B220C">
        <w:rPr>
          <w:rFonts w:ascii="Arial Narrow" w:hAnsi="Arial Narrow"/>
          <w:b/>
          <w:bCs/>
          <w:color w:val="31849B" w:themeColor="accent5" w:themeShade="BF"/>
          <w:lang w:val="en-GB"/>
        </w:rPr>
        <w:t>dure</w:t>
      </w:r>
      <w:r w:rsidR="007678DD" w:rsidRPr="002B220C">
        <w:rPr>
          <w:rFonts w:ascii="Arial Narrow" w:hAnsi="Arial Narrow"/>
          <w:b/>
          <w:bCs/>
          <w:color w:val="31849B" w:themeColor="accent5" w:themeShade="BF"/>
          <w:lang w:val="en-GB"/>
        </w:rPr>
        <w:t>,</w:t>
      </w:r>
      <w:r w:rsidR="002B333A" w:rsidRPr="002B220C">
        <w:rPr>
          <w:rFonts w:ascii="Arial Narrow" w:hAnsi="Arial Narrow"/>
          <w:b/>
          <w:bCs/>
          <w:color w:val="31849B" w:themeColor="accent5" w:themeShade="BF"/>
          <w:lang w:val="en-GB"/>
        </w:rPr>
        <w:t xml:space="preserve"> </w:t>
      </w:r>
      <w:r w:rsidRPr="002B220C">
        <w:rPr>
          <w:rFonts w:ascii="Arial Narrow" w:hAnsi="Arial Narrow"/>
          <w:b/>
          <w:bCs/>
          <w:color w:val="31849B" w:themeColor="accent5" w:themeShade="BF"/>
          <w:lang w:val="en-GB"/>
        </w:rPr>
        <w:t>applying conditions and</w:t>
      </w:r>
      <w:r w:rsidR="007678DD" w:rsidRPr="002B220C">
        <w:rPr>
          <w:rFonts w:ascii="Arial Narrow" w:hAnsi="Arial Narrow"/>
          <w:b/>
          <w:bCs/>
          <w:color w:val="31849B" w:themeColor="accent5" w:themeShade="BF"/>
          <w:lang w:val="en-GB"/>
        </w:rPr>
        <w:t xml:space="preserve"> recru</w:t>
      </w:r>
      <w:r w:rsidRPr="002B220C">
        <w:rPr>
          <w:rFonts w:ascii="Arial Narrow" w:hAnsi="Arial Narrow"/>
          <w:b/>
          <w:bCs/>
          <w:color w:val="31849B" w:themeColor="accent5" w:themeShade="BF"/>
          <w:lang w:val="en-GB"/>
        </w:rPr>
        <w:t>it</w:t>
      </w:r>
      <w:r w:rsidR="007678DD" w:rsidRPr="002B220C">
        <w:rPr>
          <w:rFonts w:ascii="Arial Narrow" w:hAnsi="Arial Narrow"/>
          <w:b/>
          <w:bCs/>
          <w:color w:val="31849B" w:themeColor="accent5" w:themeShade="BF"/>
          <w:lang w:val="en-GB"/>
        </w:rPr>
        <w:t>ment</w:t>
      </w:r>
    </w:p>
    <w:p w14:paraId="1D43F857" w14:textId="35521820" w:rsidR="002B333A" w:rsidRPr="002B220C" w:rsidRDefault="006E7AD6" w:rsidP="007678DD">
      <w:pPr>
        <w:numPr>
          <w:ilvl w:val="0"/>
          <w:numId w:val="7"/>
        </w:numPr>
        <w:spacing w:after="120"/>
        <w:ind w:hanging="357"/>
        <w:jc w:val="both"/>
        <w:rPr>
          <w:bCs/>
          <w:lang w:val="en-GB"/>
        </w:rPr>
      </w:pPr>
      <w:r w:rsidRPr="002B220C">
        <w:rPr>
          <w:bCs/>
          <w:lang w:val="en-GB"/>
        </w:rPr>
        <w:t>Th</w:t>
      </w:r>
      <w:r w:rsidR="008810CE" w:rsidRPr="002B220C">
        <w:rPr>
          <w:bCs/>
          <w:lang w:val="en-GB"/>
        </w:rPr>
        <w:t xml:space="preserve">is call closes </w:t>
      </w:r>
      <w:r w:rsidRPr="002B220C">
        <w:rPr>
          <w:b/>
          <w:bCs/>
          <w:lang w:val="en-GB"/>
        </w:rPr>
        <w:t>on</w:t>
      </w:r>
      <w:r w:rsidRPr="002B220C">
        <w:rPr>
          <w:bCs/>
          <w:lang w:val="en-GB"/>
        </w:rPr>
        <w:t xml:space="preserve"> </w:t>
      </w:r>
      <w:r w:rsidRPr="002B220C">
        <w:rPr>
          <w:b/>
          <w:bCs/>
          <w:u w:val="single"/>
          <w:lang w:val="en-GB"/>
        </w:rPr>
        <w:t xml:space="preserve">September </w:t>
      </w:r>
      <w:r w:rsidR="009E3E4F" w:rsidRPr="002B220C">
        <w:rPr>
          <w:b/>
          <w:bCs/>
          <w:u w:val="single"/>
          <w:lang w:val="en-GB"/>
        </w:rPr>
        <w:t>5</w:t>
      </w:r>
      <w:r w:rsidR="009E3E4F" w:rsidRPr="002B220C">
        <w:rPr>
          <w:b/>
          <w:bCs/>
          <w:u w:val="single"/>
          <w:vertAlign w:val="superscript"/>
          <w:lang w:val="en-GB"/>
        </w:rPr>
        <w:t>th</w:t>
      </w:r>
      <w:r w:rsidRPr="002B220C">
        <w:rPr>
          <w:b/>
          <w:bCs/>
          <w:u w:val="single"/>
          <w:lang w:val="en-GB"/>
        </w:rPr>
        <w:t>, 2020, at 23 :59 CET</w:t>
      </w:r>
      <w:r w:rsidRPr="002B220C">
        <w:rPr>
          <w:bCs/>
          <w:lang w:val="en-GB"/>
        </w:rPr>
        <w:t xml:space="preserve">. </w:t>
      </w:r>
    </w:p>
    <w:p w14:paraId="46372583" w14:textId="59059D8E" w:rsidR="009E52C0" w:rsidRPr="002B220C" w:rsidRDefault="009E3E4F" w:rsidP="00431DD3">
      <w:pPr>
        <w:numPr>
          <w:ilvl w:val="0"/>
          <w:numId w:val="7"/>
        </w:numPr>
        <w:spacing w:after="120"/>
        <w:ind w:hanging="357"/>
        <w:jc w:val="both"/>
        <w:rPr>
          <w:bCs/>
          <w:lang w:val="en-GB"/>
        </w:rPr>
      </w:pPr>
      <w:r w:rsidRPr="002B220C">
        <w:rPr>
          <w:bCs/>
          <w:lang w:val="en-GB"/>
        </w:rPr>
        <w:t xml:space="preserve">The application </w:t>
      </w:r>
      <w:r w:rsidR="006E7AD6" w:rsidRPr="002B220C">
        <w:rPr>
          <w:bCs/>
          <w:lang w:val="en-GB"/>
        </w:rPr>
        <w:t>should comprise</w:t>
      </w:r>
      <w:r w:rsidR="00C42304" w:rsidRPr="002B220C">
        <w:rPr>
          <w:bCs/>
          <w:lang w:val="en-GB"/>
        </w:rPr>
        <w:t>:</w:t>
      </w:r>
    </w:p>
    <w:p w14:paraId="1B431A05" w14:textId="7BFCE54C" w:rsidR="00C42304" w:rsidRPr="002B220C" w:rsidRDefault="006E7AD6" w:rsidP="009E52C0">
      <w:pPr>
        <w:numPr>
          <w:ilvl w:val="1"/>
          <w:numId w:val="7"/>
        </w:numPr>
        <w:spacing w:after="120"/>
        <w:jc w:val="both"/>
        <w:rPr>
          <w:bCs/>
          <w:lang w:val="en-GB"/>
        </w:rPr>
      </w:pPr>
      <w:r w:rsidRPr="002B220C">
        <w:rPr>
          <w:bCs/>
          <w:lang w:val="en-GB"/>
        </w:rPr>
        <w:t>A detailed</w:t>
      </w:r>
      <w:r w:rsidR="009E52C0" w:rsidRPr="002B220C">
        <w:rPr>
          <w:bCs/>
          <w:lang w:val="en-GB"/>
        </w:rPr>
        <w:t xml:space="preserve"> </w:t>
      </w:r>
      <w:r w:rsidR="00431DD3" w:rsidRPr="002B220C">
        <w:rPr>
          <w:bCs/>
          <w:lang w:val="en-GB"/>
        </w:rPr>
        <w:t xml:space="preserve">CV </w:t>
      </w:r>
    </w:p>
    <w:p w14:paraId="4A876EA5" w14:textId="7C6BD518" w:rsidR="00431DD3" w:rsidRPr="002B220C" w:rsidRDefault="006E7AD6" w:rsidP="009E52C0">
      <w:pPr>
        <w:numPr>
          <w:ilvl w:val="1"/>
          <w:numId w:val="7"/>
        </w:numPr>
        <w:spacing w:after="120"/>
        <w:jc w:val="both"/>
        <w:rPr>
          <w:bCs/>
          <w:lang w:val="en-GB"/>
        </w:rPr>
      </w:pPr>
      <w:r w:rsidRPr="002B220C">
        <w:rPr>
          <w:bCs/>
          <w:lang w:val="en-GB"/>
        </w:rPr>
        <w:t>A doctoral thesis project</w:t>
      </w:r>
      <w:r w:rsidR="00C42304" w:rsidRPr="002B220C">
        <w:rPr>
          <w:bCs/>
          <w:lang w:val="en-GB"/>
        </w:rPr>
        <w:t>:</w:t>
      </w:r>
      <w:r w:rsidR="00431DD3" w:rsidRPr="002B220C">
        <w:rPr>
          <w:bCs/>
          <w:lang w:val="en-GB"/>
        </w:rPr>
        <w:t xml:space="preserve"> </w:t>
      </w:r>
    </w:p>
    <w:p w14:paraId="5D12A77F" w14:textId="1227503B" w:rsidR="00686C7D" w:rsidRPr="002B220C" w:rsidRDefault="007F5875" w:rsidP="00C42304">
      <w:pPr>
        <w:widowControl w:val="0"/>
        <w:autoSpaceDE w:val="0"/>
        <w:autoSpaceDN w:val="0"/>
        <w:adjustRightInd w:val="0"/>
        <w:jc w:val="both"/>
        <w:rPr>
          <w:i/>
          <w:lang w:val="en-GB"/>
        </w:rPr>
      </w:pPr>
      <w:r w:rsidRPr="002B220C">
        <w:rPr>
          <w:lang w:val="en-GB"/>
        </w:rPr>
        <w:t>Based on</w:t>
      </w:r>
      <w:r w:rsidR="00FB0018" w:rsidRPr="002B220C">
        <w:rPr>
          <w:lang w:val="en-GB"/>
        </w:rPr>
        <w:t xml:space="preserve"> t</w:t>
      </w:r>
      <w:r w:rsidR="006E7AD6" w:rsidRPr="002B220C">
        <w:rPr>
          <w:lang w:val="en-GB"/>
        </w:rPr>
        <w:t>he</w:t>
      </w:r>
      <w:r w:rsidRPr="002B220C">
        <w:rPr>
          <w:lang w:val="en-GB"/>
        </w:rPr>
        <w:t xml:space="preserve"> text</w:t>
      </w:r>
      <w:r w:rsidR="006E7AD6" w:rsidRPr="002B220C">
        <w:rPr>
          <w:lang w:val="en-GB"/>
        </w:rPr>
        <w:t xml:space="preserve"> </w:t>
      </w:r>
      <w:r w:rsidR="00FB0018" w:rsidRPr="002B220C">
        <w:rPr>
          <w:rFonts w:ascii="Arial Narrow" w:hAnsi="Arial Narrow"/>
          <w:color w:val="31849B" w:themeColor="accent5" w:themeShade="BF"/>
          <w:lang w:val="en-GB"/>
        </w:rPr>
        <w:t>Description of the Doctoral Research</w:t>
      </w:r>
      <w:r w:rsidR="002E18F3">
        <w:rPr>
          <w:rFonts w:ascii="Arial Narrow" w:hAnsi="Arial Narrow"/>
          <w:color w:val="31849B" w:themeColor="accent5" w:themeShade="BF"/>
          <w:lang w:val="en-GB"/>
        </w:rPr>
        <w:t xml:space="preserve"> Project</w:t>
      </w:r>
      <w:r w:rsidRPr="002B220C">
        <w:rPr>
          <w:lang w:val="en-GB"/>
        </w:rPr>
        <w:t xml:space="preserve"> below</w:t>
      </w:r>
      <w:r w:rsidR="00FB0018" w:rsidRPr="002B220C">
        <w:rPr>
          <w:lang w:val="en-GB"/>
        </w:rPr>
        <w:t xml:space="preserve">, the </w:t>
      </w:r>
      <w:r w:rsidR="006E7AD6" w:rsidRPr="002B220C">
        <w:rPr>
          <w:lang w:val="en-GB"/>
        </w:rPr>
        <w:t xml:space="preserve">applicant will write a doctoral project </w:t>
      </w:r>
      <w:r w:rsidRPr="002B220C">
        <w:rPr>
          <w:lang w:val="en-GB"/>
        </w:rPr>
        <w:t>of</w:t>
      </w:r>
      <w:r w:rsidR="006E7AD6" w:rsidRPr="002B220C">
        <w:rPr>
          <w:lang w:val="en-GB"/>
        </w:rPr>
        <w:t xml:space="preserve"> </w:t>
      </w:r>
      <w:r w:rsidR="006E7AD6" w:rsidRPr="002B220C">
        <w:rPr>
          <w:b/>
          <w:lang w:val="en-GB"/>
        </w:rPr>
        <w:t>5 pages</w:t>
      </w:r>
      <w:r w:rsidRPr="002B220C">
        <w:rPr>
          <w:b/>
          <w:lang w:val="en-GB"/>
        </w:rPr>
        <w:t xml:space="preserve"> maximum</w:t>
      </w:r>
      <w:r w:rsidR="006E7AD6" w:rsidRPr="002B220C">
        <w:rPr>
          <w:lang w:val="en-GB"/>
        </w:rPr>
        <w:t xml:space="preserve">, by </w:t>
      </w:r>
      <w:r w:rsidR="00C42304" w:rsidRPr="002B220C">
        <w:rPr>
          <w:b/>
          <w:lang w:val="en-GB"/>
        </w:rPr>
        <w:t>u</w:t>
      </w:r>
      <w:r w:rsidR="00FB0018" w:rsidRPr="002B220C">
        <w:rPr>
          <w:b/>
          <w:lang w:val="en-GB"/>
        </w:rPr>
        <w:t>sing the template</w:t>
      </w:r>
      <w:r w:rsidR="00C42304" w:rsidRPr="002B220C">
        <w:rPr>
          <w:b/>
          <w:lang w:val="en-GB"/>
        </w:rPr>
        <w:t xml:space="preserve"> </w:t>
      </w:r>
      <w:r w:rsidR="00FB0018" w:rsidRPr="002B220C">
        <w:rPr>
          <w:b/>
          <w:lang w:val="en-GB"/>
        </w:rPr>
        <w:t>provided</w:t>
      </w:r>
      <w:r w:rsidR="00C42304" w:rsidRPr="002B220C">
        <w:rPr>
          <w:b/>
          <w:lang w:val="en-GB"/>
        </w:rPr>
        <w:t xml:space="preserve"> </w:t>
      </w:r>
      <w:r w:rsidR="00FB0018" w:rsidRPr="002B220C">
        <w:rPr>
          <w:lang w:val="en-GB"/>
        </w:rPr>
        <w:t>for this purpose</w:t>
      </w:r>
      <w:r w:rsidR="00C42304" w:rsidRPr="002B220C">
        <w:rPr>
          <w:lang w:val="en-GB"/>
        </w:rPr>
        <w:t xml:space="preserve"> (</w:t>
      </w:r>
      <w:r w:rsidR="00FB0018" w:rsidRPr="002B220C">
        <w:rPr>
          <w:lang w:val="en-GB"/>
        </w:rPr>
        <w:t xml:space="preserve">see </w:t>
      </w:r>
      <w:r w:rsidR="00FB0018" w:rsidRPr="002B220C">
        <w:rPr>
          <w:rFonts w:ascii="Arial Narrow" w:hAnsi="Arial Narrow"/>
          <w:color w:val="31849B" w:themeColor="accent5" w:themeShade="BF"/>
          <w:lang w:val="en-GB"/>
        </w:rPr>
        <w:t>Template</w:t>
      </w:r>
      <w:r w:rsidR="00FB0018" w:rsidRPr="002B220C">
        <w:rPr>
          <w:lang w:val="en-GB"/>
        </w:rPr>
        <w:t xml:space="preserve"> </w:t>
      </w:r>
      <w:r w:rsidRPr="002B220C">
        <w:rPr>
          <w:lang w:val="en-GB"/>
        </w:rPr>
        <w:t xml:space="preserve">further </w:t>
      </w:r>
      <w:r w:rsidR="00FB0018" w:rsidRPr="002B220C">
        <w:rPr>
          <w:lang w:val="en-GB"/>
        </w:rPr>
        <w:t>below</w:t>
      </w:r>
      <w:r w:rsidR="00C42304" w:rsidRPr="002B220C">
        <w:rPr>
          <w:lang w:val="en-GB"/>
        </w:rPr>
        <w:t>)</w:t>
      </w:r>
      <w:r w:rsidR="00C42304" w:rsidRPr="002B220C">
        <w:rPr>
          <w:i/>
          <w:lang w:val="en-GB"/>
        </w:rPr>
        <w:t>.</w:t>
      </w:r>
    </w:p>
    <w:p w14:paraId="4E0EA0EF" w14:textId="2FB09D03" w:rsidR="00686C7D" w:rsidRPr="002B220C" w:rsidRDefault="00C42304" w:rsidP="00C42304">
      <w:pPr>
        <w:widowControl w:val="0"/>
        <w:autoSpaceDE w:val="0"/>
        <w:autoSpaceDN w:val="0"/>
        <w:adjustRightInd w:val="0"/>
        <w:jc w:val="both"/>
        <w:rPr>
          <w:rFonts w:asciiTheme="minorHAnsi" w:hAnsiTheme="minorHAnsi"/>
          <w:lang w:val="en-GB"/>
        </w:rPr>
      </w:pPr>
      <w:r w:rsidRPr="002B220C">
        <w:rPr>
          <w:rFonts w:asciiTheme="minorHAnsi" w:hAnsiTheme="minorHAnsi"/>
          <w:lang w:val="en-GB"/>
        </w:rPr>
        <w:t xml:space="preserve"> </w:t>
      </w:r>
    </w:p>
    <w:p w14:paraId="03FA30FA" w14:textId="6C2CF90C" w:rsidR="00686C7D" w:rsidRPr="002B220C" w:rsidRDefault="00FB0018" w:rsidP="00686C7D">
      <w:pPr>
        <w:numPr>
          <w:ilvl w:val="0"/>
          <w:numId w:val="7"/>
        </w:numPr>
        <w:spacing w:after="120"/>
        <w:ind w:hanging="357"/>
        <w:jc w:val="both"/>
        <w:rPr>
          <w:bCs/>
          <w:lang w:val="en-GB"/>
        </w:rPr>
      </w:pPr>
      <w:r w:rsidRPr="002B220C">
        <w:rPr>
          <w:bCs/>
          <w:lang w:val="en-GB"/>
        </w:rPr>
        <w:t xml:space="preserve">The main evaluation criteria </w:t>
      </w:r>
      <w:r w:rsidR="005D1D5A" w:rsidRPr="002B220C">
        <w:rPr>
          <w:bCs/>
          <w:lang w:val="en-GB"/>
        </w:rPr>
        <w:t>of the pro</w:t>
      </w:r>
      <w:r w:rsidR="007613FC">
        <w:rPr>
          <w:bCs/>
          <w:lang w:val="en-GB"/>
        </w:rPr>
        <w:t>posal</w:t>
      </w:r>
      <w:r w:rsidR="005D1D5A" w:rsidRPr="002B220C">
        <w:rPr>
          <w:bCs/>
          <w:lang w:val="en-GB"/>
        </w:rPr>
        <w:t xml:space="preserve"> </w:t>
      </w:r>
      <w:r w:rsidRPr="002B220C">
        <w:rPr>
          <w:bCs/>
          <w:lang w:val="en-GB"/>
        </w:rPr>
        <w:t>are the following</w:t>
      </w:r>
      <w:r w:rsidR="00686C7D" w:rsidRPr="002B220C">
        <w:rPr>
          <w:bCs/>
          <w:lang w:val="en-GB"/>
        </w:rPr>
        <w:t>:</w:t>
      </w:r>
    </w:p>
    <w:p w14:paraId="10ABB07D" w14:textId="15D677E3" w:rsidR="00686C7D" w:rsidRPr="002B220C" w:rsidRDefault="00FB0018" w:rsidP="00992975">
      <w:pPr>
        <w:numPr>
          <w:ilvl w:val="1"/>
          <w:numId w:val="7"/>
        </w:numPr>
        <w:spacing w:after="120"/>
        <w:ind w:hanging="357"/>
        <w:jc w:val="both"/>
        <w:rPr>
          <w:bCs/>
          <w:lang w:val="en-GB"/>
        </w:rPr>
      </w:pPr>
      <w:r w:rsidRPr="002B220C">
        <w:rPr>
          <w:bCs/>
          <w:lang w:val="en-GB"/>
        </w:rPr>
        <w:t xml:space="preserve">Quality, interdisciplinarity and originality of the project and its scientific positioning at the national, european and international </w:t>
      </w:r>
      <w:proofErr w:type="gramStart"/>
      <w:r w:rsidRPr="002B220C">
        <w:rPr>
          <w:bCs/>
          <w:lang w:val="en-GB"/>
        </w:rPr>
        <w:t>levels ;</w:t>
      </w:r>
      <w:proofErr w:type="gramEnd"/>
      <w:r w:rsidRPr="002B220C">
        <w:rPr>
          <w:bCs/>
          <w:lang w:val="en-GB"/>
        </w:rPr>
        <w:t xml:space="preserve"> </w:t>
      </w:r>
    </w:p>
    <w:p w14:paraId="431F6BA9" w14:textId="14D9CF19" w:rsidR="00AD62C9" w:rsidRPr="002B220C" w:rsidRDefault="00FB0018" w:rsidP="00AD62C9">
      <w:pPr>
        <w:numPr>
          <w:ilvl w:val="1"/>
          <w:numId w:val="7"/>
        </w:numPr>
        <w:spacing w:after="120"/>
        <w:ind w:hanging="357"/>
        <w:jc w:val="both"/>
        <w:rPr>
          <w:bCs/>
          <w:lang w:val="en-GB"/>
        </w:rPr>
      </w:pPr>
      <w:r w:rsidRPr="002B220C">
        <w:rPr>
          <w:bCs/>
          <w:iCs/>
          <w:lang w:val="en-GB"/>
        </w:rPr>
        <w:t xml:space="preserve">Adequacy between the applicant’s academic background and the proposed </w:t>
      </w:r>
      <w:proofErr w:type="gramStart"/>
      <w:r w:rsidRPr="002B220C">
        <w:rPr>
          <w:bCs/>
          <w:iCs/>
          <w:lang w:val="en-GB"/>
        </w:rPr>
        <w:t>research ;</w:t>
      </w:r>
      <w:proofErr w:type="gramEnd"/>
      <w:r w:rsidRPr="002B220C">
        <w:rPr>
          <w:bCs/>
          <w:iCs/>
          <w:lang w:val="en-GB"/>
        </w:rPr>
        <w:t xml:space="preserve"> </w:t>
      </w:r>
    </w:p>
    <w:p w14:paraId="7960BDDA" w14:textId="00144713" w:rsidR="00686C7D" w:rsidRPr="002B220C" w:rsidRDefault="005D1D5A" w:rsidP="00AD62C9">
      <w:pPr>
        <w:numPr>
          <w:ilvl w:val="1"/>
          <w:numId w:val="7"/>
        </w:numPr>
        <w:spacing w:after="120"/>
        <w:ind w:hanging="357"/>
        <w:jc w:val="both"/>
        <w:rPr>
          <w:bCs/>
          <w:lang w:val="en-GB"/>
        </w:rPr>
      </w:pPr>
      <w:r w:rsidRPr="002B220C">
        <w:rPr>
          <w:bCs/>
          <w:lang w:val="en-GB"/>
        </w:rPr>
        <w:t>A</w:t>
      </w:r>
      <w:r w:rsidR="00D70564" w:rsidRPr="002B220C">
        <w:rPr>
          <w:bCs/>
          <w:lang w:val="en-GB"/>
        </w:rPr>
        <w:t xml:space="preserve">bility of the project to fit within </w:t>
      </w:r>
      <w:r w:rsidR="007F5875" w:rsidRPr="002B220C">
        <w:rPr>
          <w:bCs/>
          <w:lang w:val="en-GB"/>
        </w:rPr>
        <w:t xml:space="preserve">the research guidelines presented in this call for applications </w:t>
      </w:r>
      <w:r w:rsidR="00AD62C9" w:rsidRPr="002B220C">
        <w:rPr>
          <w:bCs/>
          <w:lang w:val="en-GB"/>
        </w:rPr>
        <w:t xml:space="preserve"> </w:t>
      </w:r>
    </w:p>
    <w:p w14:paraId="218A1095" w14:textId="51409D32" w:rsidR="00686C7D" w:rsidRPr="002B220C" w:rsidRDefault="005D1D5A" w:rsidP="00686C7D">
      <w:pPr>
        <w:numPr>
          <w:ilvl w:val="1"/>
          <w:numId w:val="7"/>
        </w:numPr>
        <w:spacing w:after="120"/>
        <w:ind w:hanging="357"/>
        <w:jc w:val="both"/>
        <w:rPr>
          <w:bCs/>
          <w:lang w:val="en-GB"/>
        </w:rPr>
      </w:pPr>
      <w:r w:rsidRPr="002B220C">
        <w:rPr>
          <w:bCs/>
          <w:iCs/>
          <w:lang w:val="en-GB"/>
        </w:rPr>
        <w:t>G</w:t>
      </w:r>
      <w:r w:rsidR="007F5875" w:rsidRPr="002B220C">
        <w:rPr>
          <w:bCs/>
          <w:iCs/>
          <w:lang w:val="en-GB"/>
        </w:rPr>
        <w:t>eneral coherence, theoretical and methodological orientations</w:t>
      </w:r>
      <w:r w:rsidR="009E3E4F" w:rsidRPr="002B220C">
        <w:rPr>
          <w:bCs/>
          <w:iCs/>
          <w:lang w:val="en-GB"/>
        </w:rPr>
        <w:t xml:space="preserve"> </w:t>
      </w:r>
    </w:p>
    <w:p w14:paraId="28D442A4" w14:textId="2E6C6C00" w:rsidR="00686C7D" w:rsidRPr="002B220C" w:rsidRDefault="009E3E4F" w:rsidP="00C42304">
      <w:pPr>
        <w:widowControl w:val="0"/>
        <w:numPr>
          <w:ilvl w:val="1"/>
          <w:numId w:val="7"/>
        </w:numPr>
        <w:autoSpaceDE w:val="0"/>
        <w:autoSpaceDN w:val="0"/>
        <w:adjustRightInd w:val="0"/>
        <w:spacing w:after="120"/>
        <w:ind w:hanging="357"/>
        <w:jc w:val="both"/>
        <w:rPr>
          <w:rFonts w:asciiTheme="minorHAnsi" w:hAnsiTheme="minorHAnsi"/>
          <w:lang w:val="en-GB"/>
        </w:rPr>
      </w:pPr>
      <w:r w:rsidRPr="002B220C">
        <w:rPr>
          <w:bCs/>
          <w:iCs/>
          <w:lang w:val="en-GB"/>
        </w:rPr>
        <w:t>Feasibility aspects</w:t>
      </w:r>
      <w:r w:rsidR="00686C7D" w:rsidRPr="002B220C">
        <w:rPr>
          <w:bCs/>
          <w:iCs/>
          <w:lang w:val="en-GB"/>
        </w:rPr>
        <w:t xml:space="preserve"> </w:t>
      </w:r>
      <w:r w:rsidR="007B37BE" w:rsidRPr="002B220C">
        <w:rPr>
          <w:bCs/>
          <w:iCs/>
          <w:lang w:val="en-GB"/>
        </w:rPr>
        <w:t>(</w:t>
      </w:r>
      <w:r w:rsidRPr="002B220C">
        <w:rPr>
          <w:bCs/>
          <w:iCs/>
          <w:lang w:val="en-GB"/>
        </w:rPr>
        <w:t>implementation</w:t>
      </w:r>
      <w:r w:rsidR="007B37BE" w:rsidRPr="002B220C">
        <w:rPr>
          <w:bCs/>
          <w:iCs/>
          <w:lang w:val="en-GB"/>
        </w:rPr>
        <w:t>, dur</w:t>
      </w:r>
      <w:r w:rsidRPr="002B220C">
        <w:rPr>
          <w:bCs/>
          <w:iCs/>
          <w:lang w:val="en-GB"/>
        </w:rPr>
        <w:t>ation</w:t>
      </w:r>
      <w:r w:rsidR="007B37BE" w:rsidRPr="002B220C">
        <w:rPr>
          <w:bCs/>
          <w:iCs/>
          <w:lang w:val="en-GB"/>
        </w:rPr>
        <w:t>…)</w:t>
      </w:r>
    </w:p>
    <w:p w14:paraId="5E78DBB5" w14:textId="1FE37D05" w:rsidR="00241B90" w:rsidRPr="002B220C" w:rsidRDefault="009E3E4F" w:rsidP="007678DD">
      <w:pPr>
        <w:numPr>
          <w:ilvl w:val="0"/>
          <w:numId w:val="7"/>
        </w:numPr>
        <w:spacing w:after="120"/>
        <w:ind w:hanging="357"/>
        <w:jc w:val="both"/>
        <w:rPr>
          <w:bCs/>
          <w:lang w:val="en-GB"/>
        </w:rPr>
      </w:pPr>
      <w:r w:rsidRPr="002B220C">
        <w:rPr>
          <w:bCs/>
          <w:lang w:val="en-GB"/>
        </w:rPr>
        <w:t xml:space="preserve">The applications will be examined by a commission composed of the thesis advisor, a member of the Host Laboratory (CEPAM), as well as the desk officer of the </w:t>
      </w:r>
      <w:r w:rsidR="00241B90" w:rsidRPr="002B220C">
        <w:rPr>
          <w:bCs/>
          <w:lang w:val="en-GB"/>
        </w:rPr>
        <w:t>EUR ODYSS</w:t>
      </w:r>
      <w:r w:rsidRPr="002B220C">
        <w:rPr>
          <w:bCs/>
          <w:lang w:val="en-GB"/>
        </w:rPr>
        <w:t>E</w:t>
      </w:r>
      <w:r w:rsidR="00241B90" w:rsidRPr="002B220C">
        <w:rPr>
          <w:bCs/>
          <w:lang w:val="en-GB"/>
        </w:rPr>
        <w:t>E.</w:t>
      </w:r>
    </w:p>
    <w:p w14:paraId="0D187A96" w14:textId="50F07905" w:rsidR="00241B90" w:rsidRPr="002B220C" w:rsidRDefault="009E3E4F" w:rsidP="007678DD">
      <w:pPr>
        <w:numPr>
          <w:ilvl w:val="0"/>
          <w:numId w:val="7"/>
        </w:numPr>
        <w:spacing w:after="120"/>
        <w:ind w:hanging="357"/>
        <w:jc w:val="both"/>
        <w:rPr>
          <w:bCs/>
          <w:lang w:val="en-GB"/>
        </w:rPr>
      </w:pPr>
      <w:r w:rsidRPr="002B220C">
        <w:rPr>
          <w:bCs/>
          <w:lang w:val="en-GB"/>
        </w:rPr>
        <w:t xml:space="preserve">This </w:t>
      </w:r>
      <w:r w:rsidR="00241B90" w:rsidRPr="002B220C">
        <w:rPr>
          <w:bCs/>
          <w:lang w:val="en-GB"/>
        </w:rPr>
        <w:t xml:space="preserve">commission </w:t>
      </w:r>
      <w:r w:rsidRPr="002B220C">
        <w:rPr>
          <w:bCs/>
          <w:lang w:val="en-GB"/>
        </w:rPr>
        <w:t>will select a restricted number of candidates to audition. Interviews will take place in Mid-September 2020, either in person or through a videoconference. The final ranking will be established within a week, the doctoral contract starting on October 1</w:t>
      </w:r>
      <w:r w:rsidRPr="002B220C">
        <w:rPr>
          <w:bCs/>
          <w:vertAlign w:val="superscript"/>
          <w:lang w:val="en-GB"/>
        </w:rPr>
        <w:t>st</w:t>
      </w:r>
      <w:r w:rsidRPr="002B220C">
        <w:rPr>
          <w:bCs/>
          <w:lang w:val="en-GB"/>
        </w:rPr>
        <w:t xml:space="preserve">. </w:t>
      </w:r>
    </w:p>
    <w:p w14:paraId="54ADC9A3" w14:textId="6F18EA60" w:rsidR="009E3E4F" w:rsidRPr="002B220C" w:rsidRDefault="009E3E4F" w:rsidP="00940F0D">
      <w:pPr>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Submi</w:t>
      </w:r>
      <w:r w:rsidR="008810CE" w:rsidRPr="002B220C">
        <w:rPr>
          <w:rFonts w:ascii="Arial Narrow" w:hAnsi="Arial Narrow"/>
          <w:b/>
          <w:color w:val="31849B" w:themeColor="accent5" w:themeShade="BF"/>
          <w:sz w:val="32"/>
          <w:szCs w:val="32"/>
          <w:lang w:val="en-GB"/>
        </w:rPr>
        <w:t>ssion procedure</w:t>
      </w:r>
    </w:p>
    <w:p w14:paraId="06FA15AC" w14:textId="77777777" w:rsidR="008810CE" w:rsidRPr="002B220C" w:rsidRDefault="009E3E4F" w:rsidP="00210E2F">
      <w:pPr>
        <w:spacing w:after="120"/>
        <w:rPr>
          <w:lang w:val="en-GB"/>
        </w:rPr>
      </w:pPr>
      <w:r w:rsidRPr="002B220C">
        <w:rPr>
          <w:lang w:val="en-GB"/>
        </w:rPr>
        <w:t>Save the CV and the Doctoral Project as a</w:t>
      </w:r>
      <w:r w:rsidR="00040EBE" w:rsidRPr="002B220C">
        <w:rPr>
          <w:lang w:val="en-GB"/>
        </w:rPr>
        <w:t xml:space="preserve"> </w:t>
      </w:r>
      <w:r w:rsidR="00040EBE" w:rsidRPr="002B220C">
        <w:rPr>
          <w:b/>
          <w:lang w:val="en-GB"/>
        </w:rPr>
        <w:t>pdf</w:t>
      </w:r>
      <w:r w:rsidR="008810CE" w:rsidRPr="002B220C">
        <w:rPr>
          <w:b/>
          <w:lang w:val="en-GB"/>
        </w:rPr>
        <w:t xml:space="preserve"> </w:t>
      </w:r>
      <w:r w:rsidR="008810CE" w:rsidRPr="002B220C">
        <w:rPr>
          <w:lang w:val="en-GB"/>
        </w:rPr>
        <w:t>and s</w:t>
      </w:r>
      <w:r w:rsidRPr="002B220C">
        <w:rPr>
          <w:lang w:val="en-GB"/>
        </w:rPr>
        <w:t xml:space="preserve">end the file per </w:t>
      </w:r>
      <w:r w:rsidRPr="002B220C">
        <w:rPr>
          <w:b/>
          <w:lang w:val="en-GB"/>
        </w:rPr>
        <w:t>e-mail</w:t>
      </w:r>
      <w:r w:rsidR="00934D5B" w:rsidRPr="002B220C">
        <w:rPr>
          <w:lang w:val="en-GB"/>
        </w:rPr>
        <w:t xml:space="preserve"> </w:t>
      </w:r>
      <w:r w:rsidRPr="002B220C">
        <w:rPr>
          <w:lang w:val="en-GB"/>
        </w:rPr>
        <w:t>at the following</w:t>
      </w:r>
      <w:r w:rsidR="00934D5B" w:rsidRPr="002B220C">
        <w:rPr>
          <w:lang w:val="en-GB"/>
        </w:rPr>
        <w:t xml:space="preserve"> ad</w:t>
      </w:r>
      <w:r w:rsidRPr="002B220C">
        <w:rPr>
          <w:lang w:val="en-GB"/>
        </w:rPr>
        <w:t>d</w:t>
      </w:r>
      <w:r w:rsidR="00934D5B" w:rsidRPr="002B220C">
        <w:rPr>
          <w:lang w:val="en-GB"/>
        </w:rPr>
        <w:t>resses</w:t>
      </w:r>
      <w:r w:rsidR="008810CE" w:rsidRPr="002B220C">
        <w:rPr>
          <w:lang w:val="en-GB"/>
        </w:rPr>
        <w:t xml:space="preserve"> : </w:t>
      </w:r>
      <w:hyperlink r:id="rId8" w:history="1">
        <w:r w:rsidRPr="002B220C">
          <w:rPr>
            <w:rStyle w:val="Hyperlink"/>
            <w:lang w:val="en-GB"/>
          </w:rPr>
          <w:t>isabelle.thery@cepam.cnrs.fr</w:t>
        </w:r>
      </w:hyperlink>
      <w:r w:rsidRPr="002B220C">
        <w:rPr>
          <w:lang w:val="en-GB"/>
        </w:rPr>
        <w:t xml:space="preserve">; </w:t>
      </w:r>
      <w:hyperlink r:id="rId9" w:history="1">
        <w:r w:rsidRPr="002B220C">
          <w:rPr>
            <w:rStyle w:val="Hyperlink"/>
            <w:lang w:val="en-GB"/>
          </w:rPr>
          <w:t>aureade.henry@cepam.cnrs.fr</w:t>
        </w:r>
      </w:hyperlink>
      <w:r w:rsidR="00210E2F" w:rsidRPr="002B220C">
        <w:rPr>
          <w:lang w:val="en-GB"/>
        </w:rPr>
        <w:t xml:space="preserve"> </w:t>
      </w:r>
    </w:p>
    <w:p w14:paraId="2A1B41AF" w14:textId="74452950" w:rsidR="00934D5B" w:rsidRPr="002B220C" w:rsidRDefault="008810CE" w:rsidP="008810CE">
      <w:pPr>
        <w:spacing w:after="120"/>
        <w:jc w:val="center"/>
        <w:rPr>
          <w:b/>
          <w:lang w:val="en-GB"/>
        </w:rPr>
      </w:pPr>
      <w:r w:rsidRPr="002B220C">
        <w:rPr>
          <w:b/>
          <w:lang w:val="en-GB"/>
        </w:rPr>
        <w:t>No application will be considered after the deadline</w:t>
      </w:r>
      <w:r w:rsidRPr="002B220C">
        <w:rPr>
          <w:lang w:val="en-GB"/>
        </w:rPr>
        <w:t xml:space="preserve">. </w:t>
      </w:r>
      <w:r w:rsidR="00934D5B" w:rsidRPr="002B220C">
        <w:rPr>
          <w:lang w:val="en-GB"/>
        </w:rPr>
        <w:br w:type="page"/>
      </w:r>
    </w:p>
    <w:p w14:paraId="21501DF6" w14:textId="19F1F199" w:rsidR="00040EBE" w:rsidRPr="002B220C" w:rsidRDefault="006E7AD6" w:rsidP="0008273D">
      <w:pPr>
        <w:tabs>
          <w:tab w:val="left" w:pos="3686"/>
          <w:tab w:val="right" w:pos="6096"/>
        </w:tabs>
        <w:spacing w:before="120" w:after="120"/>
        <w:ind w:right="-57"/>
        <w:jc w:val="cente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lastRenderedPageBreak/>
        <w:t>Description of the Doctoral Research Project</w:t>
      </w:r>
    </w:p>
    <w:p w14:paraId="2D567EEC" w14:textId="77777777" w:rsidR="005C2854" w:rsidRPr="002B220C" w:rsidRDefault="005C2854" w:rsidP="0008273D">
      <w:pPr>
        <w:tabs>
          <w:tab w:val="left" w:pos="3686"/>
          <w:tab w:val="right" w:pos="6096"/>
        </w:tabs>
        <w:spacing w:before="120" w:after="120"/>
        <w:ind w:right="-57"/>
        <w:jc w:val="center"/>
        <w:rPr>
          <w:rFonts w:ascii="Arial Narrow" w:hAnsi="Arial Narrow"/>
          <w:b/>
          <w:color w:val="31849B" w:themeColor="accent5" w:themeShade="BF"/>
          <w:sz w:val="32"/>
          <w:szCs w:val="32"/>
          <w:lang w:val="en-GB"/>
        </w:rPr>
      </w:pPr>
    </w:p>
    <w:p w14:paraId="71F0163E" w14:textId="08B02491" w:rsidR="004E1E5D" w:rsidRPr="002B220C" w:rsidRDefault="008810CE" w:rsidP="004E1E5D">
      <w:pPr>
        <w:pBdr>
          <w:top w:val="single" w:sz="4" w:space="1" w:color="auto"/>
          <w:left w:val="single" w:sz="4" w:space="4" w:color="auto"/>
          <w:bottom w:val="single" w:sz="4" w:space="1" w:color="auto"/>
          <w:right w:val="single" w:sz="4" w:space="4" w:color="auto"/>
        </w:pBdr>
        <w:ind w:right="-148"/>
        <w:jc w:val="center"/>
        <w:rPr>
          <w:rFonts w:ascii="Arial Narrow" w:hAnsi="Arial Narrow"/>
          <w:color w:val="000000" w:themeColor="text1"/>
          <w:lang w:val="en-GB"/>
        </w:rPr>
      </w:pPr>
      <w:r w:rsidRPr="002B220C">
        <w:rPr>
          <w:rFonts w:ascii="Arial Narrow" w:hAnsi="Arial Narrow"/>
          <w:color w:val="000000" w:themeColor="text1"/>
          <w:lang w:val="en-GB"/>
        </w:rPr>
        <w:t xml:space="preserve">Pyrotechnology as a marker of human adaptations to the </w:t>
      </w:r>
      <w:proofErr w:type="gramStart"/>
      <w:r w:rsidRPr="002B220C">
        <w:rPr>
          <w:rFonts w:ascii="Arial Narrow" w:hAnsi="Arial Narrow"/>
          <w:color w:val="000000" w:themeColor="text1"/>
          <w:lang w:val="en-GB"/>
        </w:rPr>
        <w:t>environment :</w:t>
      </w:r>
      <w:proofErr w:type="gramEnd"/>
      <w:r w:rsidRPr="002B220C">
        <w:rPr>
          <w:rFonts w:ascii="Arial Narrow" w:hAnsi="Arial Narrow"/>
          <w:color w:val="000000" w:themeColor="text1"/>
          <w:lang w:val="en-GB"/>
        </w:rPr>
        <w:t xml:space="preserve"> </w:t>
      </w:r>
    </w:p>
    <w:p w14:paraId="22923A7E" w14:textId="42529461" w:rsidR="004E1E5D" w:rsidRPr="002B220C" w:rsidRDefault="008810CE" w:rsidP="004E1E5D">
      <w:pPr>
        <w:pBdr>
          <w:top w:val="single" w:sz="4" w:space="1" w:color="auto"/>
          <w:left w:val="single" w:sz="4" w:space="4" w:color="auto"/>
          <w:bottom w:val="single" w:sz="4" w:space="1" w:color="auto"/>
          <w:right w:val="single" w:sz="4" w:space="4" w:color="auto"/>
        </w:pBdr>
        <w:ind w:right="-148"/>
        <w:jc w:val="center"/>
        <w:rPr>
          <w:rFonts w:asciiTheme="minorHAnsi" w:hAnsiTheme="minorHAnsi"/>
          <w:color w:val="000000" w:themeColor="text1"/>
          <w:lang w:val="en-GB"/>
        </w:rPr>
      </w:pPr>
      <w:r w:rsidRPr="002B220C">
        <w:rPr>
          <w:rFonts w:ascii="Arial Narrow" w:hAnsi="Arial Narrow"/>
          <w:color w:val="000000" w:themeColor="text1"/>
          <w:lang w:val="en-GB"/>
        </w:rPr>
        <w:t>Multi-proxy approaches of archaeological combustion remains</w:t>
      </w:r>
      <w:r w:rsidR="004E1E5D" w:rsidRPr="002B220C">
        <w:rPr>
          <w:rFonts w:ascii="Arial Narrow" w:hAnsi="Arial Narrow"/>
          <w:color w:val="000000" w:themeColor="text1"/>
          <w:lang w:val="en-GB"/>
        </w:rPr>
        <w:t xml:space="preserve"> </w:t>
      </w:r>
    </w:p>
    <w:p w14:paraId="0A56D9FD" w14:textId="6DDF936D" w:rsidR="004E1E5D" w:rsidRPr="002B220C" w:rsidRDefault="004E1E5D" w:rsidP="004E1E5D">
      <w:pPr>
        <w:rPr>
          <w:rFonts w:asciiTheme="minorHAnsi" w:hAnsiTheme="minorHAnsi"/>
          <w:lang w:val="en-GB"/>
        </w:rPr>
      </w:pPr>
    </w:p>
    <w:p w14:paraId="40F56D24" w14:textId="7A4DA1C1" w:rsidR="004E1E5D" w:rsidRPr="002B220C" w:rsidRDefault="00105050" w:rsidP="00105050">
      <w:pPr>
        <w:widowControl w:val="0"/>
        <w:autoSpaceDE w:val="0"/>
        <w:autoSpaceDN w:val="0"/>
        <w:adjustRightInd w:val="0"/>
        <w:rPr>
          <w:rFonts w:ascii="Arial Narrow" w:hAnsi="Arial Narrow"/>
          <w:b/>
          <w:color w:val="31849B" w:themeColor="accent5" w:themeShade="BF"/>
          <w:lang w:val="en-GB"/>
        </w:rPr>
      </w:pPr>
      <w:proofErr w:type="gramStart"/>
      <w:r w:rsidRPr="002B220C">
        <w:rPr>
          <w:rFonts w:ascii="Arial Narrow" w:hAnsi="Arial Narrow"/>
          <w:b/>
          <w:color w:val="31849B" w:themeColor="accent5" w:themeShade="BF"/>
          <w:lang w:val="en-GB"/>
        </w:rPr>
        <w:t xml:space="preserve">Introduction </w:t>
      </w:r>
      <w:r w:rsidR="0008273D" w:rsidRPr="002B220C">
        <w:rPr>
          <w:rFonts w:ascii="Arial Narrow" w:hAnsi="Arial Narrow"/>
          <w:b/>
          <w:color w:val="31849B" w:themeColor="accent5" w:themeShade="BF"/>
          <w:lang w:val="en-GB"/>
        </w:rPr>
        <w:t>:</w:t>
      </w:r>
      <w:proofErr w:type="gramEnd"/>
      <w:r w:rsidR="0008273D" w:rsidRPr="002B220C">
        <w:rPr>
          <w:rFonts w:ascii="Arial Narrow" w:hAnsi="Arial Narrow"/>
          <w:b/>
          <w:color w:val="31849B" w:themeColor="accent5" w:themeShade="BF"/>
          <w:lang w:val="en-GB"/>
        </w:rPr>
        <w:t xml:space="preserve"> </w:t>
      </w:r>
      <w:r w:rsidR="008810CE" w:rsidRPr="002B220C">
        <w:rPr>
          <w:rFonts w:ascii="Arial Narrow" w:hAnsi="Arial Narrow"/>
          <w:b/>
          <w:color w:val="31849B" w:themeColor="accent5" w:themeShade="BF"/>
          <w:lang w:val="en-GB"/>
        </w:rPr>
        <w:t>fire, societies, environments</w:t>
      </w:r>
    </w:p>
    <w:p w14:paraId="5B480A9C" w14:textId="77777777" w:rsidR="005C2854" w:rsidRPr="002B220C" w:rsidRDefault="005C2854" w:rsidP="009E3AA3">
      <w:pPr>
        <w:spacing w:line="276" w:lineRule="auto"/>
        <w:jc w:val="both"/>
        <w:rPr>
          <w:lang w:val="en-GB"/>
        </w:rPr>
      </w:pPr>
    </w:p>
    <w:p w14:paraId="48E43BCF" w14:textId="77777777" w:rsidR="002B220C" w:rsidRDefault="008810CE" w:rsidP="002B220C">
      <w:pPr>
        <w:spacing w:line="276" w:lineRule="auto"/>
        <w:jc w:val="both"/>
        <w:rPr>
          <w:lang w:val="en-GB"/>
        </w:rPr>
      </w:pPr>
      <w:r w:rsidRPr="002B220C">
        <w:rPr>
          <w:lang w:val="en-GB"/>
        </w:rPr>
        <w:t xml:space="preserve">At the heart of </w:t>
      </w:r>
      <w:r w:rsidR="002B220C" w:rsidRPr="002B220C">
        <w:rPr>
          <w:lang w:val="en-GB"/>
        </w:rPr>
        <w:t xml:space="preserve">prehistoric </w:t>
      </w:r>
      <w:r w:rsidRPr="002B220C">
        <w:rPr>
          <w:lang w:val="en-GB"/>
        </w:rPr>
        <w:t>techno-economi</w:t>
      </w:r>
      <w:r w:rsidR="002B220C" w:rsidRPr="002B220C">
        <w:rPr>
          <w:lang w:val="en-GB"/>
        </w:rPr>
        <w:t>es</w:t>
      </w:r>
      <w:r w:rsidRPr="002B220C">
        <w:rPr>
          <w:lang w:val="en-GB"/>
        </w:rPr>
        <w:t xml:space="preserve"> and cultur</w:t>
      </w:r>
      <w:r w:rsidR="002B220C" w:rsidRPr="002B220C">
        <w:rPr>
          <w:lang w:val="en-GB"/>
        </w:rPr>
        <w:t>es</w:t>
      </w:r>
      <w:r w:rsidRPr="002B220C">
        <w:rPr>
          <w:lang w:val="en-GB"/>
        </w:rPr>
        <w:t>, fire is maybe one of the most important vectors of human evolution, from the manufacture of the first palaeolithic adhesives to the fabrication of pottery and metal smelting</w:t>
      </w:r>
      <w:r w:rsidR="004E1E5D" w:rsidRPr="002B220C">
        <w:rPr>
          <w:rStyle w:val="FootnoteReference"/>
          <w:lang w:val="en-GB"/>
        </w:rPr>
        <w:footnoteReference w:id="1"/>
      </w:r>
      <w:r w:rsidR="004E1E5D" w:rsidRPr="002B220C">
        <w:rPr>
          <w:vertAlign w:val="superscript"/>
          <w:lang w:val="en-GB"/>
        </w:rPr>
        <w:t xml:space="preserve">; </w:t>
      </w:r>
      <w:r w:rsidR="004E1E5D" w:rsidRPr="002B220C">
        <w:rPr>
          <w:rStyle w:val="FootnoteReference"/>
          <w:lang w:val="en-GB"/>
        </w:rPr>
        <w:footnoteReference w:id="2"/>
      </w:r>
      <w:r w:rsidR="004E1E5D" w:rsidRPr="002B220C">
        <w:rPr>
          <w:vertAlign w:val="superscript"/>
          <w:lang w:val="en-GB"/>
        </w:rPr>
        <w:t xml:space="preserve">; </w:t>
      </w:r>
      <w:r w:rsidR="004E1E5D" w:rsidRPr="002B220C">
        <w:rPr>
          <w:rStyle w:val="FootnoteReference"/>
          <w:lang w:val="en-GB"/>
        </w:rPr>
        <w:footnoteReference w:id="3"/>
      </w:r>
      <w:r w:rsidR="004E1E5D" w:rsidRPr="002B220C">
        <w:rPr>
          <w:lang w:val="en-GB"/>
        </w:rPr>
        <w:t xml:space="preserve">. </w:t>
      </w:r>
      <w:r w:rsidRPr="002B220C">
        <w:rPr>
          <w:lang w:val="en-GB"/>
        </w:rPr>
        <w:t>The</w:t>
      </w:r>
      <w:r w:rsidR="004E1E5D" w:rsidRPr="002B220C">
        <w:rPr>
          <w:lang w:val="en-GB"/>
        </w:rPr>
        <w:t xml:space="preserve"> production</w:t>
      </w:r>
      <w:r w:rsidRPr="002B220C">
        <w:rPr>
          <w:lang w:val="en-GB"/>
        </w:rPr>
        <w:t>s linked to</w:t>
      </w:r>
      <w:r w:rsidR="002B220C" w:rsidRPr="002B220C">
        <w:rPr>
          <w:lang w:val="en-GB"/>
        </w:rPr>
        <w:t>-</w:t>
      </w:r>
      <w:r w:rsidR="004E1E5D" w:rsidRPr="002B220C">
        <w:rPr>
          <w:lang w:val="en-GB"/>
        </w:rPr>
        <w:t xml:space="preserve"> </w:t>
      </w:r>
      <w:r w:rsidRPr="002B220C">
        <w:rPr>
          <w:lang w:val="en-GB"/>
        </w:rPr>
        <w:t xml:space="preserve">and the uses of fire are deeply intertwined with a society’s traditions and know-hows, </w:t>
      </w:r>
      <w:r w:rsidR="00250015" w:rsidRPr="002B220C">
        <w:rPr>
          <w:lang w:val="en-GB"/>
        </w:rPr>
        <w:t>their expression being variable according to each group’s needs and the resources the environment offers</w:t>
      </w:r>
      <w:r w:rsidR="004E1E5D" w:rsidRPr="002B220C">
        <w:rPr>
          <w:rStyle w:val="FootnoteReference"/>
          <w:lang w:val="en-GB"/>
        </w:rPr>
        <w:footnoteReference w:id="4"/>
      </w:r>
      <w:r w:rsidR="004E1E5D" w:rsidRPr="002B220C">
        <w:rPr>
          <w:lang w:val="en-GB"/>
        </w:rPr>
        <w:t xml:space="preserve">. </w:t>
      </w:r>
      <w:r w:rsidR="00250015" w:rsidRPr="002B220C">
        <w:rPr>
          <w:lang w:val="en-GB"/>
        </w:rPr>
        <w:t xml:space="preserve">In other terms, when it comes to fire, the </w:t>
      </w:r>
      <w:r w:rsidR="00250015" w:rsidRPr="002B220C">
        <w:rPr>
          <w:i/>
          <w:lang w:val="en-GB"/>
        </w:rPr>
        <w:t>chaînes opératoires</w:t>
      </w:r>
      <w:r w:rsidR="00250015" w:rsidRPr="002B220C">
        <w:rPr>
          <w:lang w:val="en-GB"/>
        </w:rPr>
        <w:t xml:space="preserve"> at play are as diverse as they are imbricated:</w:t>
      </w:r>
      <w:r w:rsidR="002B220C" w:rsidRPr="002B220C">
        <w:rPr>
          <w:lang w:val="en-GB"/>
        </w:rPr>
        <w:t xml:space="preserve"> hence, </w:t>
      </w:r>
      <w:r w:rsidR="00250015" w:rsidRPr="002B220C">
        <w:rPr>
          <w:lang w:val="en-GB"/>
        </w:rPr>
        <w:t>the study of ancient practices around the hearths allows shedding light on all sorts of human-environment interactions and their evolutions.</w:t>
      </w:r>
      <w:r w:rsidR="004E1E5D" w:rsidRPr="002B220C">
        <w:rPr>
          <w:lang w:val="en-GB"/>
        </w:rPr>
        <w:t xml:space="preserve"> </w:t>
      </w:r>
    </w:p>
    <w:p w14:paraId="19A08F3B" w14:textId="66189806" w:rsidR="00105050" w:rsidRPr="002B220C" w:rsidRDefault="00250015" w:rsidP="002B220C">
      <w:pPr>
        <w:spacing w:line="276" w:lineRule="auto"/>
        <w:jc w:val="both"/>
        <w:rPr>
          <w:lang w:val="en-GB"/>
        </w:rPr>
      </w:pPr>
      <w:r w:rsidRPr="002B220C">
        <w:rPr>
          <w:lang w:val="en-GB"/>
        </w:rPr>
        <w:t>Archaeologists</w:t>
      </w:r>
      <w:r w:rsidR="004E1E5D" w:rsidRPr="002B220C">
        <w:rPr>
          <w:lang w:val="en-GB"/>
        </w:rPr>
        <w:t xml:space="preserve"> </w:t>
      </w:r>
      <w:r w:rsidRPr="002B220C">
        <w:rPr>
          <w:lang w:val="en-GB"/>
        </w:rPr>
        <w:t xml:space="preserve">are </w:t>
      </w:r>
      <w:r w:rsidR="002B220C">
        <w:rPr>
          <w:lang w:val="en-GB"/>
        </w:rPr>
        <w:t>gradually</w:t>
      </w:r>
      <w:r w:rsidRPr="002B220C">
        <w:rPr>
          <w:lang w:val="en-GB"/>
        </w:rPr>
        <w:t xml:space="preserve"> realizing the diversity of clues that can be found within combustion structures</w:t>
      </w:r>
      <w:r w:rsidR="004E1E5D" w:rsidRPr="002B220C">
        <w:rPr>
          <w:rStyle w:val="FootnoteReference"/>
          <w:lang w:val="en-GB"/>
        </w:rPr>
        <w:footnoteReference w:id="5"/>
      </w:r>
      <w:r w:rsidR="004E1E5D" w:rsidRPr="002B220C">
        <w:rPr>
          <w:lang w:val="en-GB"/>
        </w:rPr>
        <w:t xml:space="preserve">. </w:t>
      </w:r>
      <w:r w:rsidRPr="002B220C">
        <w:rPr>
          <w:lang w:val="en-GB"/>
        </w:rPr>
        <w:t>Ash and charcoal, hearth sediments, burned crusts mand materials are only now starting to be properly documented and sampled according of the methodology of different disciplines.</w:t>
      </w:r>
      <w:r w:rsidR="004E1E5D" w:rsidRPr="002B220C">
        <w:rPr>
          <w:lang w:val="en-GB"/>
        </w:rPr>
        <w:t xml:space="preserve"> </w:t>
      </w:r>
      <w:r w:rsidRPr="002B220C">
        <w:rPr>
          <w:lang w:val="en-GB"/>
        </w:rPr>
        <w:t xml:space="preserve">Analysed at different scales, from the macro- and microscopic to the molecluar level, these remains provide </w:t>
      </w:r>
      <w:r w:rsidR="002B220C">
        <w:rPr>
          <w:lang w:val="en-GB"/>
        </w:rPr>
        <w:t>in</w:t>
      </w:r>
      <w:r w:rsidRPr="002B220C">
        <w:rPr>
          <w:lang w:val="en-GB"/>
        </w:rPr>
        <w:t xml:space="preserve">valuable information on the spatial organization, the </w:t>
      </w:r>
      <w:r w:rsidR="004E318E" w:rsidRPr="002B220C">
        <w:rPr>
          <w:lang w:val="en-GB"/>
        </w:rPr>
        <w:t>depositional</w:t>
      </w:r>
      <w:r w:rsidRPr="002B220C">
        <w:rPr>
          <w:lang w:val="en-GB"/>
        </w:rPr>
        <w:t xml:space="preserve"> processes and the contents of combustion structures, </w:t>
      </w:r>
      <w:r w:rsidR="004E318E" w:rsidRPr="002B220C">
        <w:rPr>
          <w:lang w:val="en-GB"/>
        </w:rPr>
        <w:t>used to trace the human practices and environmental conditions that led to their formation</w:t>
      </w:r>
      <w:r w:rsidR="004E1E5D" w:rsidRPr="002B220C">
        <w:rPr>
          <w:rStyle w:val="FootnoteReference"/>
          <w:lang w:val="en-GB"/>
        </w:rPr>
        <w:footnoteReference w:id="6"/>
      </w:r>
      <w:r w:rsidR="004E1E5D" w:rsidRPr="002B220C">
        <w:rPr>
          <w:lang w:val="en-GB"/>
        </w:rPr>
        <w:t>.</w:t>
      </w:r>
    </w:p>
    <w:p w14:paraId="6110E157" w14:textId="6C7D73EB" w:rsidR="004E1E5D" w:rsidRPr="002B220C" w:rsidRDefault="004E318E" w:rsidP="002B220C">
      <w:pPr>
        <w:spacing w:line="276" w:lineRule="auto"/>
        <w:jc w:val="both"/>
        <w:rPr>
          <w:lang w:val="en-GB"/>
        </w:rPr>
      </w:pPr>
      <w:r w:rsidRPr="002B220C">
        <w:rPr>
          <w:lang w:val="en-GB"/>
        </w:rPr>
        <w:t>Thus</w:t>
      </w:r>
      <w:r w:rsidR="004E1E5D" w:rsidRPr="002B220C">
        <w:rPr>
          <w:lang w:val="en-GB"/>
        </w:rPr>
        <w:t>,</w:t>
      </w:r>
      <w:r w:rsidRPr="002B220C">
        <w:rPr>
          <w:lang w:val="en-GB"/>
        </w:rPr>
        <w:t xml:space="preserve"> archaeological contexts from different regions and time periods are </w:t>
      </w:r>
      <w:r w:rsidR="002B220C">
        <w:rPr>
          <w:lang w:val="en-GB"/>
        </w:rPr>
        <w:t>currently</w:t>
      </w:r>
      <w:r w:rsidRPr="002B220C">
        <w:rPr>
          <w:lang w:val="en-GB"/>
        </w:rPr>
        <w:t xml:space="preserve"> unveiling functional, technical or even cognitive aspects lin</w:t>
      </w:r>
      <w:r w:rsidR="002B220C">
        <w:rPr>
          <w:lang w:val="en-GB"/>
        </w:rPr>
        <w:t>k</w:t>
      </w:r>
      <w:r w:rsidRPr="002B220C">
        <w:rPr>
          <w:lang w:val="en-GB"/>
        </w:rPr>
        <w:t>ed to the use of fire, from the acquisition of resources needed for subsistence, fuel, or as raw materials- to the construction, the use and finally, the abandonment of the hearth and the discard of the remains.</w:t>
      </w:r>
      <w:r w:rsidR="004E1E5D" w:rsidRPr="002B220C">
        <w:rPr>
          <w:lang w:val="en-GB"/>
        </w:rPr>
        <w:t xml:space="preserve"> </w:t>
      </w:r>
      <w:r w:rsidRPr="002B220C">
        <w:rPr>
          <w:lang w:val="en-GB"/>
        </w:rPr>
        <w:t xml:space="preserve">Within this general context, </w:t>
      </w:r>
      <w:r w:rsidR="00CE6F0D" w:rsidRPr="002B220C">
        <w:rPr>
          <w:lang w:val="en-GB"/>
        </w:rPr>
        <w:t xml:space="preserve">experimental archaeology, ethnoarchaeology or computer modeling are often imprescindible tools for a finer interpretation of the results. </w:t>
      </w:r>
    </w:p>
    <w:p w14:paraId="16D74393" w14:textId="77777777" w:rsidR="005C2854" w:rsidRPr="002B220C" w:rsidRDefault="005C2854" w:rsidP="002B220C">
      <w:pPr>
        <w:widowControl w:val="0"/>
        <w:autoSpaceDE w:val="0"/>
        <w:autoSpaceDN w:val="0"/>
        <w:adjustRightInd w:val="0"/>
        <w:spacing w:line="276" w:lineRule="auto"/>
        <w:rPr>
          <w:rFonts w:ascii="Arial Narrow" w:hAnsi="Arial Narrow"/>
          <w:b/>
          <w:color w:val="31849B" w:themeColor="accent5" w:themeShade="BF"/>
          <w:lang w:val="en-GB"/>
        </w:rPr>
      </w:pPr>
    </w:p>
    <w:p w14:paraId="75CBE2F4" w14:textId="0F57ABCD" w:rsidR="005C2854" w:rsidRPr="002B220C" w:rsidRDefault="00CE6F0D" w:rsidP="002B220C">
      <w:pPr>
        <w:widowControl w:val="0"/>
        <w:autoSpaceDE w:val="0"/>
        <w:autoSpaceDN w:val="0"/>
        <w:adjustRightInd w:val="0"/>
        <w:rPr>
          <w:rFonts w:ascii="Arial Narrow" w:hAnsi="Arial Narrow"/>
          <w:b/>
          <w:color w:val="31849B" w:themeColor="accent5" w:themeShade="BF"/>
          <w:lang w:val="en-GB"/>
        </w:rPr>
      </w:pPr>
      <w:r w:rsidRPr="002B220C">
        <w:rPr>
          <w:rFonts w:ascii="Arial Narrow" w:hAnsi="Arial Narrow"/>
          <w:b/>
          <w:color w:val="31849B" w:themeColor="accent5" w:themeShade="BF"/>
          <w:lang w:val="en-GB"/>
        </w:rPr>
        <w:t>Observation scales</w:t>
      </w:r>
      <w:r w:rsidR="00067992" w:rsidRPr="002B220C">
        <w:rPr>
          <w:rFonts w:ascii="Arial Narrow" w:hAnsi="Arial Narrow"/>
          <w:b/>
          <w:color w:val="31849B" w:themeColor="accent5" w:themeShade="BF"/>
          <w:lang w:val="en-GB"/>
        </w:rPr>
        <w:t xml:space="preserve">, </w:t>
      </w:r>
      <w:r w:rsidRPr="002B220C">
        <w:rPr>
          <w:rFonts w:ascii="Arial Narrow" w:hAnsi="Arial Narrow"/>
          <w:b/>
          <w:color w:val="31849B" w:themeColor="accent5" w:themeShade="BF"/>
          <w:lang w:val="en-GB"/>
        </w:rPr>
        <w:t>thematical and</w:t>
      </w:r>
      <w:r w:rsidR="00067992" w:rsidRPr="002B220C">
        <w:rPr>
          <w:rFonts w:ascii="Arial Narrow" w:hAnsi="Arial Narrow"/>
          <w:b/>
          <w:color w:val="31849B" w:themeColor="accent5" w:themeShade="BF"/>
          <w:lang w:val="en-GB"/>
        </w:rPr>
        <w:t xml:space="preserve"> </w:t>
      </w:r>
      <w:r w:rsidRPr="002B220C">
        <w:rPr>
          <w:rFonts w:ascii="Arial Narrow" w:hAnsi="Arial Narrow"/>
          <w:b/>
          <w:color w:val="31849B" w:themeColor="accent5" w:themeShade="BF"/>
          <w:lang w:val="en-GB"/>
        </w:rPr>
        <w:t>disciplinary fields</w:t>
      </w:r>
      <w:r w:rsidR="00067992" w:rsidRPr="002B220C">
        <w:rPr>
          <w:rFonts w:ascii="Arial Narrow" w:hAnsi="Arial Narrow"/>
          <w:b/>
          <w:color w:val="31849B" w:themeColor="accent5" w:themeShade="BF"/>
          <w:lang w:val="en-GB"/>
        </w:rPr>
        <w:t xml:space="preserve"> </w:t>
      </w:r>
    </w:p>
    <w:p w14:paraId="4A8FDB8C" w14:textId="0DF38A50" w:rsidR="00067992" w:rsidRPr="002B220C" w:rsidRDefault="00CE6F0D" w:rsidP="009E3AA3">
      <w:pPr>
        <w:widowControl w:val="0"/>
        <w:autoSpaceDE w:val="0"/>
        <w:autoSpaceDN w:val="0"/>
        <w:adjustRightInd w:val="0"/>
        <w:spacing w:line="276" w:lineRule="auto"/>
        <w:jc w:val="both"/>
        <w:rPr>
          <w:u w:val="single"/>
          <w:lang w:val="en-GB"/>
        </w:rPr>
      </w:pPr>
      <w:r w:rsidRPr="002B220C">
        <w:rPr>
          <w:lang w:val="en-GB"/>
        </w:rPr>
        <w:t xml:space="preserve">The variability of fire-related behaviours is </w:t>
      </w:r>
      <w:r w:rsidR="002B220C">
        <w:rPr>
          <w:lang w:val="en-GB"/>
        </w:rPr>
        <w:t>considered</w:t>
      </w:r>
      <w:r w:rsidRPr="002B220C">
        <w:rPr>
          <w:lang w:val="en-GB"/>
        </w:rPr>
        <w:t xml:space="preserve"> as </w:t>
      </w:r>
      <w:r w:rsidR="002B220C">
        <w:rPr>
          <w:lang w:val="en-GB"/>
        </w:rPr>
        <w:t xml:space="preserve">being </w:t>
      </w:r>
      <w:r w:rsidRPr="002B220C">
        <w:rPr>
          <w:lang w:val="en-GB"/>
        </w:rPr>
        <w:t>related to bioclimatic or societal factors</w:t>
      </w:r>
      <w:r w:rsidR="00067992" w:rsidRPr="002B220C">
        <w:rPr>
          <w:lang w:val="en-GB"/>
        </w:rPr>
        <w:t xml:space="preserve">, </w:t>
      </w:r>
      <w:r w:rsidRPr="002B220C">
        <w:rPr>
          <w:lang w:val="en-GB"/>
        </w:rPr>
        <w:t>which have to be identified and decrypted at differe</w:t>
      </w:r>
      <w:r w:rsidR="002B220C">
        <w:rPr>
          <w:lang w:val="en-GB"/>
        </w:rPr>
        <w:t>nt spatial and temporal scales: i</w:t>
      </w:r>
      <w:r w:rsidRPr="002B220C">
        <w:rPr>
          <w:lang w:val="en-GB"/>
        </w:rPr>
        <w:t xml:space="preserve">s it possible to highligh different behaviours on the long or the very long </w:t>
      </w:r>
      <w:proofErr w:type="gramStart"/>
      <w:r w:rsidRPr="002B220C">
        <w:rPr>
          <w:lang w:val="en-GB"/>
        </w:rPr>
        <w:t>term ?</w:t>
      </w:r>
      <w:proofErr w:type="gramEnd"/>
      <w:r w:rsidRPr="002B220C">
        <w:rPr>
          <w:lang w:val="en-GB"/>
        </w:rPr>
        <w:t xml:space="preserve"> Through which </w:t>
      </w:r>
      <w:r w:rsidRPr="002B220C">
        <w:rPr>
          <w:lang w:val="en-GB"/>
        </w:rPr>
        <w:lastRenderedPageBreak/>
        <w:t>clues </w:t>
      </w:r>
      <w:r w:rsidR="002B220C">
        <w:rPr>
          <w:lang w:val="en-GB"/>
        </w:rPr>
        <w:t>and research angles</w:t>
      </w:r>
      <w:r w:rsidRPr="002B220C">
        <w:rPr>
          <w:lang w:val="en-GB"/>
        </w:rPr>
        <w:t>?</w:t>
      </w:r>
      <w:r w:rsidR="00067992" w:rsidRPr="002B220C">
        <w:rPr>
          <w:lang w:val="en-GB"/>
        </w:rPr>
        <w:t xml:space="preserve"> </w:t>
      </w:r>
      <w:r w:rsidRPr="002B220C">
        <w:rPr>
          <w:lang w:val="en-GB"/>
        </w:rPr>
        <w:t xml:space="preserve">How is it possible to approach much finer variations from an occupation to another </w:t>
      </w:r>
      <w:r w:rsidR="002B220C">
        <w:rPr>
          <w:lang w:val="en-GB"/>
        </w:rPr>
        <w:t>-</w:t>
      </w:r>
      <w:r w:rsidRPr="002B220C">
        <w:rPr>
          <w:lang w:val="en-GB"/>
        </w:rPr>
        <w:t xml:space="preserve">or </w:t>
      </w:r>
      <w:r w:rsidR="002B220C">
        <w:rPr>
          <w:lang w:val="en-GB"/>
        </w:rPr>
        <w:t xml:space="preserve">even </w:t>
      </w:r>
      <w:r w:rsidRPr="002B220C">
        <w:rPr>
          <w:lang w:val="en-GB"/>
        </w:rPr>
        <w:t>within a same occupation</w:t>
      </w:r>
      <w:r w:rsidR="002B220C">
        <w:rPr>
          <w:lang w:val="en-GB"/>
        </w:rPr>
        <w:t>-</w:t>
      </w:r>
      <w:r w:rsidRPr="002B220C">
        <w:rPr>
          <w:lang w:val="en-GB"/>
        </w:rPr>
        <w:t xml:space="preserve"> that would </w:t>
      </w:r>
      <w:r w:rsidR="002B220C">
        <w:rPr>
          <w:lang w:val="en-GB"/>
        </w:rPr>
        <w:t>reveal</w:t>
      </w:r>
      <w:r w:rsidRPr="002B220C">
        <w:rPr>
          <w:lang w:val="en-GB"/>
        </w:rPr>
        <w:t xml:space="preserve"> seasonal, functional or spatial pattern</w:t>
      </w:r>
      <w:r w:rsidR="002B220C">
        <w:rPr>
          <w:lang w:val="en-GB"/>
        </w:rPr>
        <w:t>s</w:t>
      </w:r>
      <w:r w:rsidRPr="002B220C">
        <w:rPr>
          <w:lang w:val="en-GB"/>
        </w:rPr>
        <w:t xml:space="preserve"> linked to varying uses of </w:t>
      </w:r>
      <w:proofErr w:type="gramStart"/>
      <w:r w:rsidRPr="002B220C">
        <w:rPr>
          <w:lang w:val="en-GB"/>
        </w:rPr>
        <w:t>fire ?</w:t>
      </w:r>
      <w:proofErr w:type="gramEnd"/>
      <w:r w:rsidRPr="002B220C">
        <w:rPr>
          <w:lang w:val="en-GB"/>
        </w:rPr>
        <w:t xml:space="preserve"> </w:t>
      </w:r>
    </w:p>
    <w:p w14:paraId="7515F953" w14:textId="77777777" w:rsidR="005C2854" w:rsidRPr="002B220C" w:rsidRDefault="005C2854" w:rsidP="009E3AA3">
      <w:pPr>
        <w:widowControl w:val="0"/>
        <w:autoSpaceDE w:val="0"/>
        <w:autoSpaceDN w:val="0"/>
        <w:adjustRightInd w:val="0"/>
        <w:spacing w:line="276" w:lineRule="auto"/>
        <w:jc w:val="both"/>
        <w:rPr>
          <w:lang w:val="en-GB"/>
        </w:rPr>
      </w:pPr>
    </w:p>
    <w:p w14:paraId="13287DB3" w14:textId="55699D42" w:rsidR="00067992" w:rsidRPr="002B220C" w:rsidRDefault="00632A11" w:rsidP="009E3AA3">
      <w:pPr>
        <w:widowControl w:val="0"/>
        <w:autoSpaceDE w:val="0"/>
        <w:autoSpaceDN w:val="0"/>
        <w:adjustRightInd w:val="0"/>
        <w:spacing w:line="276" w:lineRule="auto"/>
        <w:jc w:val="both"/>
        <w:rPr>
          <w:lang w:val="en-GB"/>
        </w:rPr>
      </w:pPr>
      <w:r w:rsidRPr="002B220C">
        <w:rPr>
          <w:lang w:val="en-GB"/>
        </w:rPr>
        <w:t>The candidat</w:t>
      </w:r>
      <w:r w:rsidR="005C2854" w:rsidRPr="002B220C">
        <w:rPr>
          <w:lang w:val="en-GB"/>
        </w:rPr>
        <w:t>e</w:t>
      </w:r>
      <w:r w:rsidR="00067992" w:rsidRPr="002B220C">
        <w:rPr>
          <w:lang w:val="en-GB"/>
        </w:rPr>
        <w:t xml:space="preserve"> </w:t>
      </w:r>
      <w:r w:rsidRPr="002B220C">
        <w:rPr>
          <w:lang w:val="en-GB"/>
        </w:rPr>
        <w:t xml:space="preserve">is free to build her or his research on pyrotechnology around one or more of these </w:t>
      </w:r>
      <w:r w:rsidR="002B220C">
        <w:rPr>
          <w:lang w:val="en-GB"/>
        </w:rPr>
        <w:t>aspects</w:t>
      </w:r>
      <w:r w:rsidRPr="002B220C">
        <w:rPr>
          <w:lang w:val="en-GB"/>
        </w:rPr>
        <w:t xml:space="preserve">: </w:t>
      </w:r>
    </w:p>
    <w:p w14:paraId="136AE5EA" w14:textId="623FD80C" w:rsidR="00067992" w:rsidRPr="002B220C" w:rsidRDefault="00632A11" w:rsidP="009E3AA3">
      <w:pPr>
        <w:pStyle w:val="ListParagraph"/>
        <w:widowControl w:val="0"/>
        <w:numPr>
          <w:ilvl w:val="0"/>
          <w:numId w:val="22"/>
        </w:numPr>
        <w:autoSpaceDE w:val="0"/>
        <w:autoSpaceDN w:val="0"/>
        <w:adjustRightInd w:val="0"/>
        <w:spacing w:line="276" w:lineRule="auto"/>
        <w:jc w:val="both"/>
        <w:rPr>
          <w:lang w:val="en-GB"/>
        </w:rPr>
      </w:pPr>
      <w:r w:rsidRPr="002B220C">
        <w:rPr>
          <w:lang w:val="en-GB"/>
        </w:rPr>
        <w:t>The</w:t>
      </w:r>
      <w:r w:rsidRPr="002B220C">
        <w:rPr>
          <w:b/>
          <w:lang w:val="en-GB"/>
        </w:rPr>
        <w:t xml:space="preserve"> fu</w:t>
      </w:r>
      <w:r w:rsidR="00067992" w:rsidRPr="002B220C">
        <w:rPr>
          <w:b/>
          <w:lang w:val="en-GB"/>
        </w:rPr>
        <w:t xml:space="preserve">nction </w:t>
      </w:r>
      <w:r w:rsidRPr="002B220C">
        <w:rPr>
          <w:lang w:val="en-GB"/>
        </w:rPr>
        <w:t>and</w:t>
      </w:r>
      <w:r w:rsidR="00067992" w:rsidRPr="002B220C">
        <w:rPr>
          <w:lang w:val="en-GB"/>
        </w:rPr>
        <w:t>/o</w:t>
      </w:r>
      <w:r w:rsidRPr="002B220C">
        <w:rPr>
          <w:lang w:val="en-GB"/>
        </w:rPr>
        <w:t>r</w:t>
      </w:r>
      <w:r w:rsidR="00067992" w:rsidRPr="002B220C">
        <w:rPr>
          <w:lang w:val="en-GB"/>
        </w:rPr>
        <w:t xml:space="preserve"> </w:t>
      </w:r>
      <w:r w:rsidRPr="002B220C">
        <w:rPr>
          <w:b/>
          <w:lang w:val="en-GB"/>
        </w:rPr>
        <w:t xml:space="preserve">functioning </w:t>
      </w:r>
      <w:r w:rsidRPr="002B220C">
        <w:rPr>
          <w:lang w:val="en-GB"/>
        </w:rPr>
        <w:t xml:space="preserve">of </w:t>
      </w:r>
      <w:r w:rsidRPr="002B220C">
        <w:rPr>
          <w:b/>
          <w:lang w:val="en-GB"/>
        </w:rPr>
        <w:t>combustion structures</w:t>
      </w:r>
      <w:r w:rsidR="00067992" w:rsidRPr="002B220C">
        <w:rPr>
          <w:lang w:val="en-GB"/>
        </w:rPr>
        <w:t xml:space="preserve"> </w:t>
      </w:r>
    </w:p>
    <w:p w14:paraId="07030A18" w14:textId="1D24E094" w:rsidR="00067992" w:rsidRPr="002B220C" w:rsidRDefault="00632A11" w:rsidP="009E3AA3">
      <w:pPr>
        <w:pStyle w:val="ListParagraph"/>
        <w:widowControl w:val="0"/>
        <w:numPr>
          <w:ilvl w:val="0"/>
          <w:numId w:val="22"/>
        </w:numPr>
        <w:autoSpaceDE w:val="0"/>
        <w:autoSpaceDN w:val="0"/>
        <w:adjustRightInd w:val="0"/>
        <w:spacing w:line="276" w:lineRule="auto"/>
        <w:jc w:val="both"/>
        <w:rPr>
          <w:lang w:val="en-GB"/>
        </w:rPr>
      </w:pPr>
      <w:r w:rsidRPr="002B220C">
        <w:rPr>
          <w:b/>
          <w:lang w:val="en-GB"/>
        </w:rPr>
        <w:t xml:space="preserve">Heat treatment </w:t>
      </w:r>
      <w:r w:rsidR="00067992" w:rsidRPr="002B220C">
        <w:rPr>
          <w:b/>
          <w:lang w:val="en-GB"/>
        </w:rPr>
        <w:t xml:space="preserve">techniques </w:t>
      </w:r>
      <w:r w:rsidRPr="002B220C">
        <w:rPr>
          <w:lang w:val="en-GB"/>
        </w:rPr>
        <w:t>of one or</w:t>
      </w:r>
      <w:r w:rsidRPr="002B220C">
        <w:rPr>
          <w:b/>
          <w:lang w:val="en-GB"/>
        </w:rPr>
        <w:t xml:space="preserve"> </w:t>
      </w:r>
      <w:r w:rsidRPr="002B220C">
        <w:rPr>
          <w:lang w:val="en-GB"/>
        </w:rPr>
        <w:t>several</w:t>
      </w:r>
      <w:r w:rsidRPr="002B220C">
        <w:rPr>
          <w:b/>
          <w:lang w:val="en-GB"/>
        </w:rPr>
        <w:t xml:space="preserve"> materials</w:t>
      </w:r>
      <w:r w:rsidR="00067992" w:rsidRPr="002B220C">
        <w:rPr>
          <w:b/>
          <w:lang w:val="en-GB"/>
        </w:rPr>
        <w:t xml:space="preserve"> </w:t>
      </w:r>
    </w:p>
    <w:p w14:paraId="1AA6E428" w14:textId="01968BF8" w:rsidR="00067992" w:rsidRPr="002B220C" w:rsidRDefault="00632A11" w:rsidP="009E3AA3">
      <w:pPr>
        <w:pStyle w:val="ListParagraph"/>
        <w:widowControl w:val="0"/>
        <w:numPr>
          <w:ilvl w:val="0"/>
          <w:numId w:val="22"/>
        </w:numPr>
        <w:autoSpaceDE w:val="0"/>
        <w:autoSpaceDN w:val="0"/>
        <w:adjustRightInd w:val="0"/>
        <w:spacing w:line="276" w:lineRule="auto"/>
        <w:jc w:val="both"/>
        <w:rPr>
          <w:lang w:val="en-GB"/>
        </w:rPr>
      </w:pPr>
      <w:r w:rsidRPr="002B220C">
        <w:rPr>
          <w:b/>
          <w:lang w:val="en-GB"/>
        </w:rPr>
        <w:t>T</w:t>
      </w:r>
      <w:r w:rsidR="00067992" w:rsidRPr="002B220C">
        <w:rPr>
          <w:b/>
          <w:lang w:val="en-GB"/>
        </w:rPr>
        <w:t>er</w:t>
      </w:r>
      <w:r w:rsidR="002B220C">
        <w:rPr>
          <w:b/>
          <w:lang w:val="en-GB"/>
        </w:rPr>
        <w:t>rito</w:t>
      </w:r>
      <w:r w:rsidR="00067992" w:rsidRPr="002B220C">
        <w:rPr>
          <w:b/>
          <w:lang w:val="en-GB"/>
        </w:rPr>
        <w:t>r</w:t>
      </w:r>
      <w:r w:rsidRPr="002B220C">
        <w:rPr>
          <w:b/>
          <w:lang w:val="en-GB"/>
        </w:rPr>
        <w:t>ial</w:t>
      </w:r>
      <w:r w:rsidR="00067992" w:rsidRPr="002B220C">
        <w:rPr>
          <w:b/>
          <w:lang w:val="en-GB"/>
        </w:rPr>
        <w:t xml:space="preserve"> </w:t>
      </w:r>
      <w:r w:rsidRPr="002B220C">
        <w:rPr>
          <w:b/>
          <w:lang w:val="en-GB"/>
        </w:rPr>
        <w:t xml:space="preserve">aspects </w:t>
      </w:r>
      <w:r w:rsidRPr="002B220C">
        <w:rPr>
          <w:lang w:val="en-GB"/>
        </w:rPr>
        <w:t>of fire management</w:t>
      </w:r>
      <w:r w:rsidR="00067992" w:rsidRPr="002B220C">
        <w:rPr>
          <w:lang w:val="en-GB"/>
        </w:rPr>
        <w:t xml:space="preserve"> </w:t>
      </w:r>
      <w:r w:rsidRPr="002B220C">
        <w:rPr>
          <w:lang w:val="en-GB"/>
        </w:rPr>
        <w:t xml:space="preserve">(landscape physiognomy, mobility…) </w:t>
      </w:r>
    </w:p>
    <w:p w14:paraId="29CE9424" w14:textId="77777777" w:rsidR="005C2854" w:rsidRPr="002B220C" w:rsidRDefault="005C2854" w:rsidP="009E3AA3">
      <w:pPr>
        <w:widowControl w:val="0"/>
        <w:autoSpaceDE w:val="0"/>
        <w:autoSpaceDN w:val="0"/>
        <w:adjustRightInd w:val="0"/>
        <w:spacing w:line="276" w:lineRule="auto"/>
        <w:jc w:val="both"/>
        <w:rPr>
          <w:lang w:val="en-GB"/>
        </w:rPr>
      </w:pPr>
    </w:p>
    <w:p w14:paraId="0F8B972B" w14:textId="40095785" w:rsidR="00067992" w:rsidRPr="002B220C" w:rsidRDefault="00632A11" w:rsidP="009E3AA3">
      <w:pPr>
        <w:widowControl w:val="0"/>
        <w:autoSpaceDE w:val="0"/>
        <w:autoSpaceDN w:val="0"/>
        <w:adjustRightInd w:val="0"/>
        <w:spacing w:line="276" w:lineRule="auto"/>
        <w:jc w:val="both"/>
        <w:rPr>
          <w:lang w:val="en-GB"/>
        </w:rPr>
      </w:pPr>
      <w:r w:rsidRPr="002B220C">
        <w:rPr>
          <w:lang w:val="en-GB"/>
        </w:rPr>
        <w:t xml:space="preserve">These issues will be addressed through one or several subdisciplines stemming from the following research </w:t>
      </w:r>
      <w:proofErr w:type="gramStart"/>
      <w:r w:rsidRPr="002B220C">
        <w:rPr>
          <w:lang w:val="en-GB"/>
        </w:rPr>
        <w:t>areas :</w:t>
      </w:r>
      <w:proofErr w:type="gramEnd"/>
      <w:r w:rsidR="00067992" w:rsidRPr="002B220C">
        <w:rPr>
          <w:lang w:val="en-GB"/>
        </w:rPr>
        <w:t xml:space="preserve"> </w:t>
      </w:r>
    </w:p>
    <w:p w14:paraId="79330EC8" w14:textId="3AEDAF2B" w:rsidR="00067992" w:rsidRPr="002B220C" w:rsidRDefault="00067992" w:rsidP="009E3AA3">
      <w:pPr>
        <w:pStyle w:val="ListParagraph"/>
        <w:widowControl w:val="0"/>
        <w:numPr>
          <w:ilvl w:val="0"/>
          <w:numId w:val="22"/>
        </w:numPr>
        <w:autoSpaceDE w:val="0"/>
        <w:autoSpaceDN w:val="0"/>
        <w:adjustRightInd w:val="0"/>
        <w:spacing w:line="276" w:lineRule="auto"/>
        <w:jc w:val="both"/>
        <w:rPr>
          <w:lang w:val="en-GB"/>
        </w:rPr>
      </w:pPr>
      <w:r w:rsidRPr="002B220C">
        <w:rPr>
          <w:b/>
          <w:lang w:val="en-GB"/>
        </w:rPr>
        <w:t>bioarch</w:t>
      </w:r>
      <w:r w:rsidR="00632A11" w:rsidRPr="002B220C">
        <w:rPr>
          <w:b/>
          <w:lang w:val="en-GB"/>
        </w:rPr>
        <w:t>aeology</w:t>
      </w:r>
      <w:r w:rsidR="00632A11" w:rsidRPr="002B220C">
        <w:rPr>
          <w:lang w:val="en-GB"/>
        </w:rPr>
        <w:t xml:space="preserve"> (archae</w:t>
      </w:r>
      <w:r w:rsidRPr="002B220C">
        <w:rPr>
          <w:lang w:val="en-GB"/>
        </w:rPr>
        <w:t>olog</w:t>
      </w:r>
      <w:r w:rsidR="00632A11" w:rsidRPr="002B220C">
        <w:rPr>
          <w:lang w:val="en-GB"/>
        </w:rPr>
        <w:t>y</w:t>
      </w:r>
      <w:r w:rsidRPr="002B220C">
        <w:rPr>
          <w:lang w:val="en-GB"/>
        </w:rPr>
        <w:t xml:space="preserve"> </w:t>
      </w:r>
      <w:r w:rsidR="00632A11" w:rsidRPr="002B220C">
        <w:rPr>
          <w:lang w:val="en-GB"/>
        </w:rPr>
        <w:t>of biological remains</w:t>
      </w:r>
      <w:r w:rsidRPr="002B220C">
        <w:rPr>
          <w:lang w:val="en-GB"/>
        </w:rPr>
        <w:t xml:space="preserve">) </w:t>
      </w:r>
      <w:r w:rsidR="00632A11" w:rsidRPr="002B220C">
        <w:rPr>
          <w:b/>
          <w:lang w:val="en-GB"/>
        </w:rPr>
        <w:t>of burned remains</w:t>
      </w:r>
    </w:p>
    <w:p w14:paraId="36CAF768" w14:textId="49E7A805" w:rsidR="00067992" w:rsidRPr="002B220C" w:rsidRDefault="00067992" w:rsidP="009E3AA3">
      <w:pPr>
        <w:pStyle w:val="ListParagraph"/>
        <w:widowControl w:val="0"/>
        <w:numPr>
          <w:ilvl w:val="0"/>
          <w:numId w:val="22"/>
        </w:numPr>
        <w:autoSpaceDE w:val="0"/>
        <w:autoSpaceDN w:val="0"/>
        <w:adjustRightInd w:val="0"/>
        <w:spacing w:line="276" w:lineRule="auto"/>
        <w:jc w:val="both"/>
        <w:rPr>
          <w:b/>
          <w:lang w:val="en-GB"/>
        </w:rPr>
      </w:pPr>
      <w:r w:rsidRPr="002B220C">
        <w:rPr>
          <w:b/>
          <w:lang w:val="en-GB"/>
        </w:rPr>
        <w:t>micromorpholog</w:t>
      </w:r>
      <w:r w:rsidR="00632A11" w:rsidRPr="002B220C">
        <w:rPr>
          <w:b/>
          <w:lang w:val="en-GB"/>
        </w:rPr>
        <w:t>y</w:t>
      </w:r>
      <w:r w:rsidR="00632A11" w:rsidRPr="002B220C">
        <w:rPr>
          <w:lang w:val="en-GB"/>
        </w:rPr>
        <w:t xml:space="preserve"> (</w:t>
      </w:r>
      <w:r w:rsidRPr="002B220C">
        <w:rPr>
          <w:lang w:val="en-GB"/>
        </w:rPr>
        <w:t>microstratigraphi</w:t>
      </w:r>
      <w:r w:rsidR="00632A11" w:rsidRPr="002B220C">
        <w:rPr>
          <w:lang w:val="en-GB"/>
        </w:rPr>
        <w:t>cal analysis</w:t>
      </w:r>
      <w:r w:rsidRPr="002B220C">
        <w:rPr>
          <w:lang w:val="en-GB"/>
        </w:rPr>
        <w:t xml:space="preserve">) </w:t>
      </w:r>
      <w:r w:rsidR="00632A11" w:rsidRPr="002B220C">
        <w:rPr>
          <w:b/>
          <w:lang w:val="en-GB"/>
        </w:rPr>
        <w:t xml:space="preserve">of combustion </w:t>
      </w:r>
      <w:r w:rsidRPr="002B220C">
        <w:rPr>
          <w:b/>
          <w:lang w:val="en-GB"/>
        </w:rPr>
        <w:t xml:space="preserve">structures </w:t>
      </w:r>
    </w:p>
    <w:p w14:paraId="670AD398" w14:textId="58F16FF9" w:rsidR="005C2854" w:rsidRPr="002B220C" w:rsidRDefault="00067992" w:rsidP="006C38DF">
      <w:pPr>
        <w:pStyle w:val="ListParagraph"/>
        <w:widowControl w:val="0"/>
        <w:numPr>
          <w:ilvl w:val="0"/>
          <w:numId w:val="22"/>
        </w:numPr>
        <w:autoSpaceDE w:val="0"/>
        <w:autoSpaceDN w:val="0"/>
        <w:adjustRightInd w:val="0"/>
        <w:spacing w:line="276" w:lineRule="auto"/>
        <w:jc w:val="both"/>
        <w:rPr>
          <w:lang w:val="en-GB"/>
        </w:rPr>
      </w:pPr>
      <w:r w:rsidRPr="002B220C">
        <w:rPr>
          <w:b/>
          <w:lang w:val="en-GB"/>
        </w:rPr>
        <w:t>arch</w:t>
      </w:r>
      <w:r w:rsidR="00632A11" w:rsidRPr="002B220C">
        <w:rPr>
          <w:b/>
          <w:lang w:val="en-GB"/>
        </w:rPr>
        <w:t>aeochemistry</w:t>
      </w:r>
      <w:r w:rsidRPr="002B220C">
        <w:rPr>
          <w:lang w:val="en-GB"/>
        </w:rPr>
        <w:t xml:space="preserve"> (</w:t>
      </w:r>
      <w:r w:rsidR="00BE0D1F" w:rsidRPr="002B220C">
        <w:rPr>
          <w:lang w:val="en-GB"/>
        </w:rPr>
        <w:t xml:space="preserve">biomolecular isotopic </w:t>
      </w:r>
      <w:r w:rsidRPr="002B220C">
        <w:rPr>
          <w:lang w:val="en-GB"/>
        </w:rPr>
        <w:t xml:space="preserve">analyses) </w:t>
      </w:r>
      <w:r w:rsidR="00BE0D1F" w:rsidRPr="002B220C">
        <w:rPr>
          <w:b/>
          <w:lang w:val="en-GB"/>
        </w:rPr>
        <w:t>of heated/burned materials</w:t>
      </w:r>
    </w:p>
    <w:p w14:paraId="25646488" w14:textId="77777777" w:rsidR="005C2854" w:rsidRPr="002B220C" w:rsidRDefault="005C2854" w:rsidP="006C38DF">
      <w:pPr>
        <w:jc w:val="both"/>
        <w:rPr>
          <w:rFonts w:ascii="Arial Narrow" w:hAnsi="Arial Narrow"/>
          <w:b/>
          <w:color w:val="31849B" w:themeColor="accent5" w:themeShade="BF"/>
          <w:lang w:val="en-GB"/>
        </w:rPr>
      </w:pPr>
    </w:p>
    <w:p w14:paraId="177187FB" w14:textId="0BA293B2" w:rsidR="005C2854" w:rsidRPr="002B220C" w:rsidRDefault="00BE0D1F" w:rsidP="00BE0D1F">
      <w:pPr>
        <w:jc w:val="both"/>
        <w:rPr>
          <w:rFonts w:ascii="Arial Narrow" w:hAnsi="Arial Narrow"/>
          <w:b/>
          <w:color w:val="31849B" w:themeColor="accent5" w:themeShade="BF"/>
          <w:lang w:val="en-GB"/>
        </w:rPr>
      </w:pPr>
      <w:r w:rsidRPr="002B220C">
        <w:rPr>
          <w:rFonts w:ascii="Arial Narrow" w:hAnsi="Arial Narrow"/>
          <w:b/>
          <w:color w:val="31849B" w:themeColor="accent5" w:themeShade="BF"/>
          <w:lang w:val="en-GB"/>
        </w:rPr>
        <w:t>Research of the Host Laboratory</w:t>
      </w:r>
      <w:r w:rsidR="006F0500" w:rsidRPr="002B220C">
        <w:rPr>
          <w:rFonts w:ascii="Arial Narrow" w:hAnsi="Arial Narrow"/>
          <w:b/>
          <w:color w:val="31849B" w:themeColor="accent5" w:themeShade="BF"/>
          <w:lang w:val="en-GB"/>
        </w:rPr>
        <w:t xml:space="preserve"> </w:t>
      </w:r>
      <w:r w:rsidRPr="002B220C">
        <w:rPr>
          <w:rFonts w:ascii="Arial Narrow" w:hAnsi="Arial Narrow"/>
          <w:b/>
          <w:color w:val="31849B" w:themeColor="accent5" w:themeShade="BF"/>
          <w:lang w:val="en-GB"/>
        </w:rPr>
        <w:t>and archaeological corpuses</w:t>
      </w:r>
    </w:p>
    <w:p w14:paraId="333AF3C4" w14:textId="0E086A9B" w:rsidR="00BE0D1F" w:rsidRPr="002B220C" w:rsidRDefault="00BE0D1F" w:rsidP="009E3AA3">
      <w:pPr>
        <w:spacing w:line="276" w:lineRule="auto"/>
        <w:jc w:val="both"/>
        <w:rPr>
          <w:lang w:val="en-GB"/>
        </w:rPr>
      </w:pPr>
      <w:r w:rsidRPr="002B220C">
        <w:rPr>
          <w:lang w:val="en-GB"/>
        </w:rPr>
        <w:t xml:space="preserve">The </w:t>
      </w:r>
      <w:r w:rsidR="006C38DF" w:rsidRPr="002B220C">
        <w:rPr>
          <w:lang w:val="en-GB"/>
        </w:rPr>
        <w:t xml:space="preserve">CEPAM </w:t>
      </w:r>
      <w:r w:rsidRPr="002B220C">
        <w:rPr>
          <w:lang w:val="en-GB"/>
        </w:rPr>
        <w:t xml:space="preserve">laboratory </w:t>
      </w:r>
      <w:r w:rsidR="006C38DF" w:rsidRPr="002B220C">
        <w:rPr>
          <w:lang w:val="en-GB"/>
        </w:rPr>
        <w:t>(</w:t>
      </w:r>
      <w:r w:rsidRPr="002B220C">
        <w:rPr>
          <w:lang w:val="en-GB"/>
        </w:rPr>
        <w:t xml:space="preserve">CNRS </w:t>
      </w:r>
      <w:r w:rsidR="006C38DF" w:rsidRPr="002B220C">
        <w:rPr>
          <w:lang w:val="en-GB"/>
        </w:rPr>
        <w:t>UMR 7264</w:t>
      </w:r>
      <w:r w:rsidRPr="002B220C">
        <w:rPr>
          <w:lang w:val="en-GB"/>
        </w:rPr>
        <w:t>, Nice, France) contributes to the development of interdisciplinary research in pyroarchaeology through work in geomorphology/micromorphology, bioarchaeology and archaeochemistry. This research relies on a network of collaborations with other institutions in France and abroad, from which the candidate will be able to benefit.</w:t>
      </w:r>
      <w:r w:rsidR="00E00108" w:rsidRPr="002B220C">
        <w:rPr>
          <w:lang w:val="en-GB"/>
        </w:rPr>
        <w:t xml:space="preserve"> </w:t>
      </w:r>
    </w:p>
    <w:p w14:paraId="3D8E0FFE" w14:textId="7A5090AF" w:rsidR="00E00108" w:rsidRPr="002B220C" w:rsidRDefault="00E00108" w:rsidP="009E3AA3">
      <w:pPr>
        <w:spacing w:line="276" w:lineRule="auto"/>
        <w:jc w:val="both"/>
        <w:rPr>
          <w:lang w:val="en-GB"/>
        </w:rPr>
      </w:pPr>
      <w:r w:rsidRPr="002B220C">
        <w:rPr>
          <w:lang w:val="en-GB"/>
        </w:rPr>
        <w:t xml:space="preserve">The topics more specifically targeted by this call for applications are: (i) </w:t>
      </w:r>
      <w:r w:rsidRPr="002B220C">
        <w:rPr>
          <w:b/>
          <w:lang w:val="en-GB"/>
        </w:rPr>
        <w:t>environmental and societal changes</w:t>
      </w:r>
      <w:r w:rsidRPr="002B220C">
        <w:rPr>
          <w:lang w:val="en-GB"/>
        </w:rPr>
        <w:t xml:space="preserve"> happening between the </w:t>
      </w:r>
      <w:r w:rsidRPr="002B220C">
        <w:rPr>
          <w:b/>
          <w:lang w:val="en-GB"/>
        </w:rPr>
        <w:t>Late Glacial and the Early Holocene</w:t>
      </w:r>
      <w:r w:rsidRPr="002B220C">
        <w:rPr>
          <w:lang w:val="en-GB"/>
        </w:rPr>
        <w:t xml:space="preserve"> (14.6– 8.2 ka cal. BP) (ii) </w:t>
      </w:r>
      <w:r w:rsidRPr="002B220C">
        <w:rPr>
          <w:b/>
          <w:lang w:val="en-GB"/>
        </w:rPr>
        <w:t>prehistoric hunter-gatherer adaptations to harsh environments</w:t>
      </w:r>
      <w:r w:rsidRPr="002B220C">
        <w:rPr>
          <w:lang w:val="en-GB"/>
        </w:rPr>
        <w:t xml:space="preserve"> (mainly arctic and subarctic climates) and (iii) </w:t>
      </w:r>
      <w:r w:rsidRPr="002B220C">
        <w:rPr>
          <w:b/>
          <w:lang w:val="en-GB"/>
        </w:rPr>
        <w:t>Last hunter-gatherers</w:t>
      </w:r>
      <w:r w:rsidRPr="002B220C">
        <w:rPr>
          <w:lang w:val="en-GB"/>
        </w:rPr>
        <w:t xml:space="preserve"> </w:t>
      </w:r>
      <w:r w:rsidRPr="002B220C">
        <w:rPr>
          <w:b/>
          <w:lang w:val="en-GB"/>
        </w:rPr>
        <w:t>and first farmers</w:t>
      </w:r>
      <w:r w:rsidRPr="002B220C">
        <w:rPr>
          <w:lang w:val="en-GB"/>
        </w:rPr>
        <w:t xml:space="preserve"> in Western Europe (8-6 ka cal. BP). </w:t>
      </w:r>
      <w:r w:rsidR="00132D6A" w:rsidRPr="002B220C">
        <w:rPr>
          <w:lang w:val="en-GB"/>
        </w:rPr>
        <w:t xml:space="preserve">In order to </w:t>
      </w:r>
      <w:r w:rsidR="002B220C">
        <w:rPr>
          <w:lang w:val="en-GB"/>
        </w:rPr>
        <w:t>create new knowledge</w:t>
      </w:r>
      <w:r w:rsidR="00132D6A" w:rsidRPr="002B220C">
        <w:rPr>
          <w:lang w:val="en-GB"/>
        </w:rPr>
        <w:t xml:space="preserve"> on these wide issues, the CEPAM Laboratory has access to a corpus of multi-layered, well-preserved and well-dated, recently or currently excavated sites, located in France, the US and the Russian Federation. </w:t>
      </w:r>
    </w:p>
    <w:p w14:paraId="15BA8D25" w14:textId="24562364" w:rsidR="00132D6A" w:rsidRPr="002B220C" w:rsidRDefault="00132D6A" w:rsidP="00132D6A">
      <w:pPr>
        <w:widowControl w:val="0"/>
        <w:autoSpaceDE w:val="0"/>
        <w:autoSpaceDN w:val="0"/>
        <w:adjustRightInd w:val="0"/>
        <w:spacing w:line="276" w:lineRule="auto"/>
        <w:jc w:val="both"/>
        <w:rPr>
          <w:lang w:val="en-GB"/>
        </w:rPr>
      </w:pPr>
      <w:r w:rsidRPr="002B220C">
        <w:rPr>
          <w:lang w:val="en-GB"/>
        </w:rPr>
        <w:t xml:space="preserve">While preferably addressing at least one of these </w:t>
      </w:r>
      <w:r w:rsidR="002B220C">
        <w:rPr>
          <w:lang w:val="en-GB"/>
        </w:rPr>
        <w:t xml:space="preserve">three </w:t>
      </w:r>
      <w:r w:rsidRPr="002B220C">
        <w:rPr>
          <w:lang w:val="en-GB"/>
        </w:rPr>
        <w:t xml:space="preserve">topics, the </w:t>
      </w:r>
      <w:r w:rsidR="002C43D3">
        <w:rPr>
          <w:lang w:val="en-GB"/>
        </w:rPr>
        <w:t xml:space="preserve">perspective of the </w:t>
      </w:r>
      <w:r w:rsidRPr="002B220C">
        <w:rPr>
          <w:lang w:val="en-GB"/>
        </w:rPr>
        <w:t xml:space="preserve">doctoral </w:t>
      </w:r>
      <w:r w:rsidR="002C43D3">
        <w:rPr>
          <w:lang w:val="en-GB"/>
        </w:rPr>
        <w:t xml:space="preserve">research can be </w:t>
      </w:r>
      <w:r w:rsidR="002C43D3" w:rsidRPr="002B220C">
        <w:rPr>
          <w:b/>
          <w:lang w:val="en-GB"/>
        </w:rPr>
        <w:t>diachronical or synchronical</w:t>
      </w:r>
      <w:r w:rsidR="002C43D3" w:rsidRPr="002C43D3">
        <w:rPr>
          <w:lang w:val="en-GB"/>
        </w:rPr>
        <w:t>, and</w:t>
      </w:r>
      <w:r w:rsidR="002C43D3">
        <w:rPr>
          <w:b/>
          <w:lang w:val="en-GB"/>
        </w:rPr>
        <w:t xml:space="preserve"> </w:t>
      </w:r>
      <w:r w:rsidR="002C43D3">
        <w:rPr>
          <w:lang w:val="en-GB"/>
        </w:rPr>
        <w:t>rely</w:t>
      </w:r>
      <w:r w:rsidRPr="002B220C">
        <w:rPr>
          <w:lang w:val="en-GB"/>
        </w:rPr>
        <w:t xml:space="preserve"> on one to several occupation levels from one to several archaeological sites, depending on the </w:t>
      </w:r>
      <w:r w:rsidR="002C43D3">
        <w:rPr>
          <w:lang w:val="en-GB"/>
        </w:rPr>
        <w:t>objectives</w:t>
      </w:r>
      <w:r w:rsidRPr="002B220C">
        <w:rPr>
          <w:lang w:val="en-GB"/>
        </w:rPr>
        <w:t xml:space="preserve"> develop</w:t>
      </w:r>
      <w:r w:rsidR="002C43D3">
        <w:rPr>
          <w:lang w:val="en-GB"/>
        </w:rPr>
        <w:t>ed in the research</w:t>
      </w:r>
      <w:r w:rsidRPr="002B220C">
        <w:rPr>
          <w:lang w:val="en-GB"/>
        </w:rPr>
        <w:t xml:space="preserve">. </w:t>
      </w:r>
      <w:r w:rsidRPr="002B220C">
        <w:rPr>
          <w:b/>
          <w:lang w:val="en-GB"/>
        </w:rPr>
        <w:t xml:space="preserve">The choice of the study corpus will take place according to two </w:t>
      </w:r>
      <w:proofErr w:type="gramStart"/>
      <w:r w:rsidRPr="002B220C">
        <w:rPr>
          <w:b/>
          <w:lang w:val="en-GB"/>
        </w:rPr>
        <w:t>modalities :</w:t>
      </w:r>
      <w:proofErr w:type="gramEnd"/>
      <w:r w:rsidRPr="002B220C">
        <w:rPr>
          <w:lang w:val="en-GB"/>
        </w:rPr>
        <w:t xml:space="preserve"> </w:t>
      </w:r>
    </w:p>
    <w:p w14:paraId="4F65237B" w14:textId="32FFC560" w:rsidR="00FF795C" w:rsidRPr="002B220C" w:rsidRDefault="00132D6A" w:rsidP="00132D6A">
      <w:pPr>
        <w:pStyle w:val="ListParagraph"/>
        <w:widowControl w:val="0"/>
        <w:numPr>
          <w:ilvl w:val="0"/>
          <w:numId w:val="24"/>
        </w:numPr>
        <w:autoSpaceDE w:val="0"/>
        <w:autoSpaceDN w:val="0"/>
        <w:adjustRightInd w:val="0"/>
        <w:spacing w:line="276" w:lineRule="auto"/>
        <w:jc w:val="both"/>
        <w:rPr>
          <w:lang w:val="en-GB"/>
        </w:rPr>
      </w:pPr>
      <w:r w:rsidRPr="002B220C">
        <w:rPr>
          <w:lang w:val="en-GB"/>
        </w:rPr>
        <w:t xml:space="preserve">The </w:t>
      </w:r>
      <w:r w:rsidR="00FF795C" w:rsidRPr="002B220C">
        <w:rPr>
          <w:lang w:val="en-GB"/>
        </w:rPr>
        <w:t>candidat</w:t>
      </w:r>
      <w:r w:rsidR="00E3014C" w:rsidRPr="002B220C">
        <w:rPr>
          <w:lang w:val="en-GB"/>
        </w:rPr>
        <w:t>e</w:t>
      </w:r>
      <w:r w:rsidR="00FF795C" w:rsidRPr="002B220C">
        <w:rPr>
          <w:lang w:val="en-GB"/>
        </w:rPr>
        <w:t xml:space="preserve"> </w:t>
      </w:r>
      <w:r w:rsidRPr="002B220C">
        <w:rPr>
          <w:b/>
          <w:lang w:val="en-GB"/>
        </w:rPr>
        <w:t>already</w:t>
      </w:r>
      <w:r w:rsidRPr="002B220C">
        <w:rPr>
          <w:lang w:val="en-GB"/>
        </w:rPr>
        <w:t xml:space="preserve"> </w:t>
      </w:r>
      <w:r w:rsidR="00FF795C" w:rsidRPr="002B220C">
        <w:rPr>
          <w:b/>
          <w:lang w:val="en-GB"/>
        </w:rPr>
        <w:t>poss</w:t>
      </w:r>
      <w:r w:rsidRPr="002B220C">
        <w:rPr>
          <w:b/>
          <w:lang w:val="en-GB"/>
        </w:rPr>
        <w:t>esses</w:t>
      </w:r>
      <w:r w:rsidR="00FF795C" w:rsidRPr="002B220C">
        <w:rPr>
          <w:b/>
          <w:lang w:val="en-GB"/>
        </w:rPr>
        <w:t xml:space="preserve"> </w:t>
      </w:r>
      <w:r w:rsidRPr="002B220C">
        <w:rPr>
          <w:b/>
          <w:lang w:val="en-GB"/>
        </w:rPr>
        <w:t>a study</w:t>
      </w:r>
      <w:r w:rsidR="00FF795C" w:rsidRPr="002B220C">
        <w:rPr>
          <w:b/>
          <w:lang w:val="en-GB"/>
        </w:rPr>
        <w:t xml:space="preserve"> corpus</w:t>
      </w:r>
      <w:r w:rsidR="00FF795C" w:rsidRPr="002B220C">
        <w:rPr>
          <w:lang w:val="en-GB"/>
        </w:rPr>
        <w:t xml:space="preserve"> (</w:t>
      </w:r>
      <w:r w:rsidRPr="002B220C">
        <w:rPr>
          <w:lang w:val="en-GB"/>
        </w:rPr>
        <w:t>an entire or a partial one</w:t>
      </w:r>
      <w:r w:rsidR="00FF795C" w:rsidRPr="002B220C">
        <w:rPr>
          <w:lang w:val="en-GB"/>
        </w:rPr>
        <w:t xml:space="preserve">) </w:t>
      </w:r>
      <w:r w:rsidRPr="002B220C">
        <w:rPr>
          <w:lang w:val="en-GB"/>
        </w:rPr>
        <w:t>on which she/he wishes to work</w:t>
      </w:r>
      <w:r w:rsidR="00FF795C" w:rsidRPr="002B220C">
        <w:rPr>
          <w:lang w:val="en-GB"/>
        </w:rPr>
        <w:t xml:space="preserve">. </w:t>
      </w:r>
      <w:r w:rsidRPr="002B220C">
        <w:rPr>
          <w:b/>
          <w:lang w:val="en-GB"/>
        </w:rPr>
        <w:t>Note</w:t>
      </w:r>
      <w:r w:rsidRPr="002B220C">
        <w:rPr>
          <w:lang w:val="en-GB"/>
        </w:rPr>
        <w:t xml:space="preserve"> that in this case</w:t>
      </w:r>
      <w:r w:rsidR="00CD1FEB" w:rsidRPr="002B220C">
        <w:rPr>
          <w:lang w:val="en-GB"/>
        </w:rPr>
        <w:t xml:space="preserve">, </w:t>
      </w:r>
      <w:r w:rsidR="002C169F" w:rsidRPr="002B220C">
        <w:rPr>
          <w:lang w:val="en-GB"/>
        </w:rPr>
        <w:t>access to the material will be a criterion in the evaluation of the project’s feasibility. If needed,</w:t>
      </w:r>
      <w:r w:rsidR="00CD1FEB" w:rsidRPr="002B220C">
        <w:rPr>
          <w:lang w:val="en-GB"/>
        </w:rPr>
        <w:t xml:space="preserve"> </w:t>
      </w:r>
      <w:r w:rsidR="002C169F" w:rsidRPr="002B220C">
        <w:rPr>
          <w:lang w:val="en-GB"/>
        </w:rPr>
        <w:t>the</w:t>
      </w:r>
      <w:r w:rsidR="00CD1FEB" w:rsidRPr="002B220C">
        <w:rPr>
          <w:lang w:val="en-GB"/>
        </w:rPr>
        <w:t xml:space="preserve"> CEPAM </w:t>
      </w:r>
      <w:r w:rsidR="002C169F" w:rsidRPr="002B220C">
        <w:rPr>
          <w:lang w:val="en-GB"/>
        </w:rPr>
        <w:t xml:space="preserve">can complete a corpus by providing study materials that will be consistent with the candidate’s project. </w:t>
      </w:r>
      <w:r w:rsidR="00CD1FEB" w:rsidRPr="002B220C">
        <w:rPr>
          <w:lang w:val="en-GB"/>
        </w:rPr>
        <w:t xml:space="preserve"> </w:t>
      </w:r>
    </w:p>
    <w:p w14:paraId="7A315CC8" w14:textId="7EDAB3D9" w:rsidR="00F6052F" w:rsidRPr="002B220C" w:rsidRDefault="002C169F" w:rsidP="009E3AA3">
      <w:pPr>
        <w:pStyle w:val="ListParagraph"/>
        <w:widowControl w:val="0"/>
        <w:numPr>
          <w:ilvl w:val="0"/>
          <w:numId w:val="24"/>
        </w:numPr>
        <w:autoSpaceDE w:val="0"/>
        <w:autoSpaceDN w:val="0"/>
        <w:adjustRightInd w:val="0"/>
        <w:spacing w:line="276" w:lineRule="auto"/>
        <w:jc w:val="both"/>
        <w:rPr>
          <w:lang w:val="en-GB"/>
        </w:rPr>
      </w:pPr>
      <w:r w:rsidRPr="002B220C">
        <w:rPr>
          <w:lang w:val="en-GB"/>
        </w:rPr>
        <w:t xml:space="preserve">The candidate </w:t>
      </w:r>
      <w:r w:rsidRPr="002B220C">
        <w:rPr>
          <w:b/>
          <w:lang w:val="en-GB"/>
        </w:rPr>
        <w:t>does not have a study corpus yet</w:t>
      </w:r>
      <w:r w:rsidRPr="002B220C">
        <w:rPr>
          <w:lang w:val="en-GB"/>
        </w:rPr>
        <w:t>, but</w:t>
      </w:r>
      <w:r w:rsidRPr="002B220C">
        <w:rPr>
          <w:b/>
          <w:lang w:val="en-GB"/>
        </w:rPr>
        <w:t xml:space="preserve"> </w:t>
      </w:r>
      <w:r w:rsidRPr="002B220C">
        <w:rPr>
          <w:lang w:val="en-GB"/>
        </w:rPr>
        <w:t>she/he possesses a precise idea of the approach she/he wishes to develop and of the type of context(s) needed to implement the research. In this case, the</w:t>
      </w:r>
      <w:r w:rsidR="00E3014C" w:rsidRPr="002B220C">
        <w:rPr>
          <w:lang w:val="en-GB"/>
        </w:rPr>
        <w:t xml:space="preserve"> CEPAM </w:t>
      </w:r>
      <w:r w:rsidRPr="002B220C">
        <w:rPr>
          <w:lang w:val="en-GB"/>
        </w:rPr>
        <w:t>will propose corpus options that are consistent with</w:t>
      </w:r>
      <w:r w:rsidR="00E3014C" w:rsidRPr="002B220C">
        <w:rPr>
          <w:lang w:val="en-GB"/>
        </w:rPr>
        <w:t xml:space="preserve"> </w:t>
      </w:r>
      <w:r w:rsidRPr="002B220C">
        <w:rPr>
          <w:lang w:val="en-GB"/>
        </w:rPr>
        <w:t xml:space="preserve">the nature of the research. </w:t>
      </w:r>
    </w:p>
    <w:p w14:paraId="0330960B" w14:textId="16F04653" w:rsidR="0008273D" w:rsidRPr="002B220C" w:rsidRDefault="002C43D3" w:rsidP="002C43D3">
      <w:pPr>
        <w:widowControl w:val="0"/>
        <w:autoSpaceDE w:val="0"/>
        <w:autoSpaceDN w:val="0"/>
        <w:adjustRightInd w:val="0"/>
        <w:spacing w:line="276" w:lineRule="auto"/>
        <w:jc w:val="both"/>
        <w:rPr>
          <w:lang w:val="en-GB"/>
        </w:rPr>
      </w:pPr>
      <w:r>
        <w:rPr>
          <w:lang w:val="en-GB"/>
        </w:rPr>
        <w:t>In any case</w:t>
      </w:r>
      <w:r w:rsidR="002C169F" w:rsidRPr="002B220C">
        <w:rPr>
          <w:lang w:val="en-GB"/>
        </w:rPr>
        <w:t>, it is expected that the cand</w:t>
      </w:r>
      <w:r w:rsidR="00C86C3C">
        <w:rPr>
          <w:lang w:val="en-GB"/>
        </w:rPr>
        <w:t xml:space="preserve">idate participates to fieldwork, which </w:t>
      </w:r>
      <w:r w:rsidR="002C169F" w:rsidRPr="002B220C">
        <w:rPr>
          <w:lang w:val="en-GB"/>
        </w:rPr>
        <w:t xml:space="preserve">will allow her/him to increase her/his knowledge of the archaeological context and to collaborate with different </w:t>
      </w:r>
      <w:r w:rsidR="002C169F" w:rsidRPr="002B220C">
        <w:rPr>
          <w:lang w:val="en-GB"/>
        </w:rPr>
        <w:lastRenderedPageBreak/>
        <w:t xml:space="preserve">research teams. </w:t>
      </w:r>
    </w:p>
    <w:p w14:paraId="0E067718" w14:textId="77777777" w:rsidR="002C169F" w:rsidRPr="002B220C" w:rsidRDefault="002C169F" w:rsidP="004E1E5D">
      <w:pPr>
        <w:widowControl w:val="0"/>
        <w:autoSpaceDE w:val="0"/>
        <w:autoSpaceDN w:val="0"/>
        <w:adjustRightInd w:val="0"/>
        <w:jc w:val="both"/>
        <w:rPr>
          <w:rFonts w:ascii="Arial Narrow" w:hAnsi="Arial Narrow"/>
          <w:b/>
          <w:color w:val="31849B" w:themeColor="accent5" w:themeShade="BF"/>
          <w:lang w:val="en-GB"/>
        </w:rPr>
      </w:pPr>
    </w:p>
    <w:p w14:paraId="79F8D43F" w14:textId="2BDB3CAE" w:rsidR="0008273D" w:rsidRPr="002B220C" w:rsidRDefault="00BA3D01" w:rsidP="004E1E5D">
      <w:pPr>
        <w:widowControl w:val="0"/>
        <w:autoSpaceDE w:val="0"/>
        <w:autoSpaceDN w:val="0"/>
        <w:adjustRightInd w:val="0"/>
        <w:jc w:val="both"/>
        <w:rPr>
          <w:rFonts w:ascii="Arial Narrow" w:hAnsi="Arial Narrow"/>
          <w:b/>
          <w:color w:val="31849B" w:themeColor="accent5" w:themeShade="BF"/>
          <w:lang w:val="en-GB"/>
        </w:rPr>
      </w:pPr>
      <w:r w:rsidRPr="002B220C">
        <w:rPr>
          <w:rFonts w:ascii="Arial Narrow" w:hAnsi="Arial Narrow"/>
          <w:b/>
          <w:color w:val="31849B" w:themeColor="accent5" w:themeShade="BF"/>
          <w:lang w:val="en-GB"/>
        </w:rPr>
        <w:t xml:space="preserve">Indicative </w:t>
      </w:r>
      <w:r w:rsidR="0008273D" w:rsidRPr="002B220C">
        <w:rPr>
          <w:rFonts w:ascii="Arial Narrow" w:hAnsi="Arial Narrow"/>
          <w:b/>
          <w:color w:val="31849B" w:themeColor="accent5" w:themeShade="BF"/>
          <w:lang w:val="en-GB"/>
        </w:rPr>
        <w:t>Bibliograph</w:t>
      </w:r>
      <w:r w:rsidRPr="002B220C">
        <w:rPr>
          <w:rFonts w:ascii="Arial Narrow" w:hAnsi="Arial Narrow"/>
          <w:b/>
          <w:color w:val="31849B" w:themeColor="accent5" w:themeShade="BF"/>
          <w:lang w:val="en-GB"/>
        </w:rPr>
        <w:t>y</w:t>
      </w:r>
    </w:p>
    <w:p w14:paraId="2C84FC57" w14:textId="77777777" w:rsidR="00172F90" w:rsidRPr="002B220C" w:rsidRDefault="00172F90" w:rsidP="009E3AA3">
      <w:pPr>
        <w:pStyle w:val="FootnoteText"/>
        <w:spacing w:line="276" w:lineRule="auto"/>
        <w:rPr>
          <w:sz w:val="22"/>
          <w:szCs w:val="22"/>
          <w:lang w:val="en-GB"/>
        </w:rPr>
      </w:pPr>
      <w:r w:rsidRPr="002B220C">
        <w:rPr>
          <w:sz w:val="22"/>
          <w:szCs w:val="22"/>
          <w:lang w:val="en-GB"/>
        </w:rPr>
        <w:t xml:space="preserve">Aldeias, V. 2017. </w:t>
      </w:r>
      <w:r w:rsidRPr="002B220C">
        <w:rPr>
          <w:i/>
          <w:sz w:val="22"/>
          <w:szCs w:val="22"/>
          <w:lang w:val="en-GB"/>
        </w:rPr>
        <w:t>Experimental Approaches to Archaeological Fire Features and their Behavioral Relevance.</w:t>
      </w:r>
      <w:r w:rsidRPr="002B220C">
        <w:rPr>
          <w:sz w:val="22"/>
          <w:szCs w:val="22"/>
          <w:lang w:val="en-GB"/>
        </w:rPr>
        <w:t xml:space="preserve"> Current Anthropology 58, S16: S191–S205. </w:t>
      </w:r>
    </w:p>
    <w:p w14:paraId="68687A18" w14:textId="2936772F" w:rsidR="001E1BCE" w:rsidRPr="002B220C" w:rsidRDefault="00172F90" w:rsidP="009E3AA3">
      <w:pPr>
        <w:pStyle w:val="FootnoteText"/>
        <w:spacing w:line="276" w:lineRule="auto"/>
        <w:rPr>
          <w:sz w:val="22"/>
          <w:szCs w:val="22"/>
          <w:lang w:val="en-GB"/>
        </w:rPr>
      </w:pPr>
      <w:r w:rsidRPr="002B220C">
        <w:rPr>
          <w:sz w:val="22"/>
          <w:szCs w:val="22"/>
          <w:lang w:val="en-GB"/>
        </w:rPr>
        <w:t xml:space="preserve">Audiard B., Théry-Parisot I., Blasco T., Mologni C., Texier P.-J., </w:t>
      </w:r>
      <w:proofErr w:type="gramStart"/>
      <w:r w:rsidRPr="002B220C">
        <w:rPr>
          <w:sz w:val="22"/>
          <w:szCs w:val="22"/>
          <w:lang w:val="en-GB"/>
        </w:rPr>
        <w:t>et al..</w:t>
      </w:r>
      <w:proofErr w:type="gramEnd"/>
      <w:r w:rsidRPr="002B220C">
        <w:rPr>
          <w:sz w:val="22"/>
          <w:szCs w:val="22"/>
          <w:lang w:val="en-GB"/>
        </w:rPr>
        <w:t xml:space="preserve"> 2019. Crossing taxonomic and isotopic approaches in charcoal analyses to reveal past climates. New perspectives in Paleobotany from the Paleolithic Neanderthal dwelling-site of La Combette (Vaucluse, France). </w:t>
      </w:r>
      <w:r w:rsidRPr="002B220C">
        <w:rPr>
          <w:i/>
          <w:iCs/>
          <w:sz w:val="22"/>
          <w:szCs w:val="22"/>
          <w:lang w:val="en-GB"/>
        </w:rPr>
        <w:t>Review of Palaeobotany and Palynology</w:t>
      </w:r>
      <w:r w:rsidRPr="002B220C">
        <w:rPr>
          <w:sz w:val="22"/>
          <w:szCs w:val="22"/>
          <w:lang w:val="en-GB"/>
        </w:rPr>
        <w:t xml:space="preserve"> </w:t>
      </w:r>
      <w:proofErr w:type="gramStart"/>
      <w:r w:rsidRPr="002B220C">
        <w:rPr>
          <w:sz w:val="22"/>
          <w:szCs w:val="22"/>
          <w:lang w:val="en-GB"/>
        </w:rPr>
        <w:t>266 :</w:t>
      </w:r>
      <w:proofErr w:type="gramEnd"/>
      <w:r w:rsidRPr="002B220C">
        <w:rPr>
          <w:sz w:val="22"/>
          <w:szCs w:val="22"/>
          <w:lang w:val="en-GB"/>
        </w:rPr>
        <w:t xml:space="preserve"> 52-60.</w:t>
      </w:r>
    </w:p>
    <w:p w14:paraId="6BBD5D94" w14:textId="7EC7D2FF" w:rsidR="0008273D" w:rsidRPr="002B220C" w:rsidRDefault="00172F90" w:rsidP="009E3AA3">
      <w:pPr>
        <w:pStyle w:val="FootnoteText"/>
        <w:spacing w:line="276" w:lineRule="auto"/>
        <w:rPr>
          <w:sz w:val="22"/>
          <w:szCs w:val="22"/>
          <w:lang w:val="en-GB"/>
        </w:rPr>
      </w:pPr>
      <w:r w:rsidRPr="002B220C">
        <w:rPr>
          <w:sz w:val="22"/>
          <w:szCs w:val="22"/>
          <w:lang w:val="en-GB"/>
        </w:rPr>
        <w:t>Buonasera, T., Herrera-Herrera, A.V., Mallol, C. 2019. Experimentally Derived Sedimentary, Molecular, and Isotopic Characteristics of Bone-Fueled Hearths. </w:t>
      </w:r>
      <w:r w:rsidRPr="002B220C">
        <w:rPr>
          <w:i/>
          <w:iCs/>
          <w:sz w:val="22"/>
          <w:szCs w:val="22"/>
          <w:lang w:val="en-GB"/>
        </w:rPr>
        <w:t>J Archaeol Method Theory</w:t>
      </w:r>
      <w:r w:rsidRPr="002B220C">
        <w:rPr>
          <w:sz w:val="22"/>
          <w:szCs w:val="22"/>
          <w:lang w:val="en-GB"/>
        </w:rPr>
        <w:t> </w:t>
      </w:r>
      <w:r w:rsidRPr="002B220C">
        <w:rPr>
          <w:bCs/>
          <w:sz w:val="22"/>
          <w:szCs w:val="22"/>
          <w:lang w:val="en-GB"/>
        </w:rPr>
        <w:t>26, </w:t>
      </w:r>
      <w:r w:rsidRPr="002B220C">
        <w:rPr>
          <w:sz w:val="22"/>
          <w:szCs w:val="22"/>
          <w:lang w:val="en-GB"/>
        </w:rPr>
        <w:t>1327–1375.</w:t>
      </w:r>
    </w:p>
    <w:p w14:paraId="7F261A17" w14:textId="29870DA2" w:rsidR="001E1BCE" w:rsidRPr="002B220C" w:rsidRDefault="001E1BCE" w:rsidP="009E3AA3">
      <w:pPr>
        <w:pStyle w:val="FootnoteText"/>
        <w:spacing w:line="276" w:lineRule="auto"/>
        <w:rPr>
          <w:sz w:val="22"/>
          <w:szCs w:val="22"/>
          <w:lang w:val="en-GB"/>
        </w:rPr>
      </w:pPr>
      <w:r w:rsidRPr="002B220C">
        <w:rPr>
          <w:sz w:val="22"/>
          <w:szCs w:val="22"/>
          <w:lang w:val="en-GB"/>
        </w:rPr>
        <w:t>Delhon C., Didier Binder, Pascal Verdin, Arnaud Mazuy. Phytoliths as a seasonality indicator? The example of the Neolithic site of Pendimoun, south-eastern France. </w:t>
      </w:r>
      <w:r w:rsidRPr="002B220C">
        <w:rPr>
          <w:i/>
          <w:iCs/>
          <w:sz w:val="22"/>
          <w:szCs w:val="22"/>
          <w:lang w:val="en-GB"/>
        </w:rPr>
        <w:t>Vegetation History and Archaeobotany</w:t>
      </w:r>
      <w:r w:rsidRPr="002B220C">
        <w:rPr>
          <w:sz w:val="22"/>
          <w:szCs w:val="22"/>
          <w:lang w:val="en-GB"/>
        </w:rPr>
        <w:t>, Springer Verlag, 2020, 29, pp.229-240</w:t>
      </w:r>
    </w:p>
    <w:p w14:paraId="6E95B5E8" w14:textId="77777777" w:rsidR="00067992" w:rsidRPr="002B220C" w:rsidRDefault="00067992" w:rsidP="009E3AA3">
      <w:pPr>
        <w:pStyle w:val="FootnoteText"/>
        <w:spacing w:line="276" w:lineRule="auto"/>
        <w:rPr>
          <w:sz w:val="22"/>
          <w:szCs w:val="22"/>
          <w:lang w:val="en-GB"/>
        </w:rPr>
      </w:pPr>
      <w:r w:rsidRPr="002B220C">
        <w:rPr>
          <w:sz w:val="22"/>
          <w:szCs w:val="22"/>
          <w:lang w:val="en-GB"/>
        </w:rPr>
        <w:t xml:space="preserve">Choy, K., Potter B. A., McKinney H. J., Reuther J. D., Wang A. W., Wooller M. J. 2016.  “Chemical Profiling of Ancient Hearths Reveals Recurrent Salmon Use in Ice Age Beringia.” PNAS. doi:10.1073/pnas.1606219113. </w:t>
      </w:r>
    </w:p>
    <w:p w14:paraId="6FF803AB" w14:textId="77777777" w:rsidR="00172F90" w:rsidRPr="002B220C" w:rsidRDefault="00172F90" w:rsidP="009E3AA3">
      <w:pPr>
        <w:pStyle w:val="FootnoteText"/>
        <w:spacing w:line="276" w:lineRule="auto"/>
        <w:rPr>
          <w:sz w:val="22"/>
          <w:szCs w:val="22"/>
          <w:lang w:val="en-GB"/>
        </w:rPr>
      </w:pPr>
      <w:r w:rsidRPr="002B220C">
        <w:rPr>
          <w:sz w:val="22"/>
          <w:szCs w:val="22"/>
          <w:lang w:val="en-GB"/>
        </w:rPr>
        <w:t xml:space="preserve">Henry A., Théry-Parisot I., 2014. Fuel Use and Management during the Mesolithic: Recent Approaches in Archaeobotany. </w:t>
      </w:r>
      <w:r w:rsidRPr="002B220C">
        <w:rPr>
          <w:i/>
          <w:iCs/>
          <w:sz w:val="22"/>
          <w:szCs w:val="22"/>
          <w:lang w:val="en-GB"/>
        </w:rPr>
        <w:t>P@lethnology</w:t>
      </w:r>
      <w:r w:rsidRPr="002B220C">
        <w:rPr>
          <w:sz w:val="22"/>
          <w:szCs w:val="22"/>
          <w:lang w:val="en-GB"/>
        </w:rPr>
        <w:t xml:space="preserve"> 6: 65-83.</w:t>
      </w:r>
    </w:p>
    <w:p w14:paraId="709FAD44" w14:textId="77777777" w:rsidR="00172F90" w:rsidRPr="002B220C" w:rsidRDefault="00172F90" w:rsidP="009E3AA3">
      <w:pPr>
        <w:pStyle w:val="FootnoteText"/>
        <w:spacing w:line="276" w:lineRule="auto"/>
        <w:rPr>
          <w:sz w:val="22"/>
          <w:szCs w:val="22"/>
          <w:lang w:val="en-GB"/>
        </w:rPr>
      </w:pPr>
      <w:r w:rsidRPr="002B220C">
        <w:rPr>
          <w:sz w:val="22"/>
          <w:szCs w:val="22"/>
          <w:lang w:val="en-GB"/>
        </w:rPr>
        <w:t xml:space="preserve">Holdaway S. J, Davies B., Fanning P. C. 2017. Aboriginal Use of Fire in a Landscape Context: Investigating Presence and Absence of Heat-Retainer Hearths in Western New South Wales, Australia. </w:t>
      </w:r>
      <w:r w:rsidRPr="002B220C">
        <w:rPr>
          <w:i/>
          <w:sz w:val="22"/>
          <w:szCs w:val="22"/>
          <w:lang w:val="en-GB"/>
        </w:rPr>
        <w:t>Current Anthropology</w:t>
      </w:r>
      <w:r w:rsidRPr="002B220C">
        <w:rPr>
          <w:sz w:val="22"/>
          <w:szCs w:val="22"/>
          <w:lang w:val="en-GB"/>
        </w:rPr>
        <w:t xml:space="preserve"> 58, S16: S230-S242.</w:t>
      </w:r>
    </w:p>
    <w:p w14:paraId="71B8B991" w14:textId="77777777" w:rsidR="00172F90" w:rsidRPr="002B220C" w:rsidRDefault="00172F90" w:rsidP="009E3AA3">
      <w:pPr>
        <w:pStyle w:val="FootnoteText"/>
        <w:spacing w:line="276" w:lineRule="auto"/>
        <w:rPr>
          <w:sz w:val="22"/>
          <w:szCs w:val="22"/>
          <w:lang w:val="en-GB"/>
        </w:rPr>
      </w:pPr>
      <w:r w:rsidRPr="002B220C">
        <w:rPr>
          <w:sz w:val="22"/>
          <w:szCs w:val="22"/>
          <w:lang w:val="en-GB"/>
        </w:rPr>
        <w:t xml:space="preserve">Mallol C, Henry A. 2017. Ethnoarchaeology of fire: methodological considerations. </w:t>
      </w:r>
      <w:r w:rsidRPr="002B220C">
        <w:rPr>
          <w:i/>
          <w:sz w:val="22"/>
          <w:szCs w:val="22"/>
          <w:lang w:val="en-GB"/>
        </w:rPr>
        <w:t>Current Anthropology</w:t>
      </w:r>
      <w:r w:rsidRPr="002B220C">
        <w:rPr>
          <w:sz w:val="22"/>
          <w:szCs w:val="22"/>
          <w:lang w:val="en-GB"/>
        </w:rPr>
        <w:t xml:space="preserve"> 58, S16: S217–S229.</w:t>
      </w:r>
    </w:p>
    <w:p w14:paraId="795AA8B2" w14:textId="7CACDB32" w:rsidR="00172F90" w:rsidRPr="002B220C" w:rsidRDefault="00172F90" w:rsidP="009E3AA3">
      <w:pPr>
        <w:pStyle w:val="FootnoteText"/>
        <w:spacing w:line="276" w:lineRule="auto"/>
        <w:rPr>
          <w:sz w:val="22"/>
          <w:szCs w:val="22"/>
          <w:lang w:val="en-GB"/>
        </w:rPr>
      </w:pPr>
      <w:r w:rsidRPr="002B220C">
        <w:rPr>
          <w:sz w:val="22"/>
          <w:szCs w:val="22"/>
          <w:lang w:val="en-GB" w:eastAsia="en-US"/>
        </w:rPr>
        <w:t>Rageot, M., I. Théry-Parisot, S. Beyries, C. Lepère, A. Carré, A. Mazuy, J.-J. Filippi, et al. 201</w:t>
      </w:r>
      <w:r w:rsidRPr="002B220C">
        <w:rPr>
          <w:sz w:val="22"/>
          <w:szCs w:val="22"/>
          <w:lang w:val="en-GB"/>
        </w:rPr>
        <w:t xml:space="preserve">9. </w:t>
      </w:r>
      <w:r w:rsidRPr="002B220C">
        <w:rPr>
          <w:sz w:val="22"/>
          <w:szCs w:val="22"/>
          <w:lang w:val="en-GB" w:eastAsia="en-US"/>
        </w:rPr>
        <w:t>Birch Bark Tar Production: Experimental and Biomolecular Approaches of a Common and Wi</w:t>
      </w:r>
      <w:r w:rsidRPr="002B220C">
        <w:rPr>
          <w:sz w:val="22"/>
          <w:szCs w:val="22"/>
          <w:lang w:val="en-GB"/>
        </w:rPr>
        <w:t>dely Used Prehistoric Adhesive.</w:t>
      </w:r>
      <w:r w:rsidRPr="002B220C">
        <w:rPr>
          <w:sz w:val="22"/>
          <w:szCs w:val="22"/>
          <w:lang w:val="en-GB" w:eastAsia="en-US"/>
        </w:rPr>
        <w:t xml:space="preserve"> Journal of Ar</w:t>
      </w:r>
      <w:r w:rsidRPr="002B220C">
        <w:rPr>
          <w:sz w:val="22"/>
          <w:szCs w:val="22"/>
          <w:lang w:val="en-GB"/>
        </w:rPr>
        <w:t>chaeological Method and Theory</w:t>
      </w:r>
      <w:r w:rsidRPr="002B220C">
        <w:rPr>
          <w:b/>
          <w:bCs/>
          <w:color w:val="333333"/>
          <w:sz w:val="22"/>
          <w:szCs w:val="22"/>
          <w:lang w:val="en-GB"/>
        </w:rPr>
        <w:t xml:space="preserve"> </w:t>
      </w:r>
      <w:r w:rsidRPr="002B220C">
        <w:rPr>
          <w:bCs/>
          <w:color w:val="333333"/>
          <w:sz w:val="22"/>
          <w:szCs w:val="22"/>
          <w:lang w:val="en-GB"/>
        </w:rPr>
        <w:t>26</w:t>
      </w:r>
      <w:r w:rsidRPr="002B220C">
        <w:rPr>
          <w:color w:val="333333"/>
          <w:sz w:val="22"/>
          <w:szCs w:val="22"/>
          <w:shd w:val="clear" w:color="auto" w:fill="FCFCFC"/>
          <w:lang w:val="en-GB"/>
        </w:rPr>
        <w:t xml:space="preserve">: </w:t>
      </w:r>
      <w:r w:rsidRPr="002B220C">
        <w:rPr>
          <w:color w:val="333333"/>
          <w:sz w:val="22"/>
          <w:szCs w:val="22"/>
          <w:lang w:val="en-GB"/>
        </w:rPr>
        <w:t>276</w:t>
      </w:r>
      <w:r w:rsidRPr="002B220C">
        <w:rPr>
          <w:color w:val="333333"/>
          <w:sz w:val="22"/>
          <w:szCs w:val="22"/>
          <w:shd w:val="clear" w:color="auto" w:fill="FCFCFC"/>
          <w:lang w:val="en-GB"/>
        </w:rPr>
        <w:t>–</w:t>
      </w:r>
      <w:r w:rsidRPr="002B220C">
        <w:rPr>
          <w:color w:val="333333"/>
          <w:sz w:val="22"/>
          <w:szCs w:val="22"/>
          <w:lang w:val="en-GB"/>
        </w:rPr>
        <w:t>312.</w:t>
      </w:r>
    </w:p>
    <w:p w14:paraId="59D1FA8A" w14:textId="1E67F68F" w:rsidR="00105050" w:rsidRPr="002B220C" w:rsidRDefault="00105050" w:rsidP="009E3AA3">
      <w:pPr>
        <w:pStyle w:val="FootnoteText"/>
        <w:spacing w:line="276" w:lineRule="auto"/>
        <w:rPr>
          <w:bCs/>
          <w:sz w:val="22"/>
          <w:szCs w:val="22"/>
          <w:lang w:val="en-GB"/>
        </w:rPr>
      </w:pPr>
      <w:r w:rsidRPr="002B220C">
        <w:rPr>
          <w:sz w:val="22"/>
          <w:szCs w:val="22"/>
          <w:lang w:val="en-GB"/>
        </w:rPr>
        <w:t xml:space="preserve">Robson H.K. </w:t>
      </w:r>
      <w:r w:rsidRPr="002B220C">
        <w:rPr>
          <w:i/>
          <w:sz w:val="22"/>
          <w:szCs w:val="22"/>
          <w:lang w:val="en-GB"/>
        </w:rPr>
        <w:t>et al.</w:t>
      </w:r>
      <w:r w:rsidRPr="002B220C">
        <w:rPr>
          <w:sz w:val="22"/>
          <w:szCs w:val="22"/>
          <w:lang w:val="en-GB"/>
        </w:rPr>
        <w:t xml:space="preserve"> 2018. I</w:t>
      </w:r>
      <w:r w:rsidRPr="002B220C">
        <w:rPr>
          <w:bCs/>
          <w:sz w:val="22"/>
          <w:szCs w:val="22"/>
          <w:lang w:val="en-GB"/>
        </w:rPr>
        <w:t xml:space="preserve">lluminating the prehistory of northern Europe: organic residue analysis of lamps. In: Lozovskaya O.V., Vybornov, A. A., Dolbunova E. V., eds. </w:t>
      </w:r>
      <w:r w:rsidRPr="002B220C">
        <w:rPr>
          <w:bCs/>
          <w:i/>
          <w:sz w:val="22"/>
          <w:szCs w:val="22"/>
          <w:lang w:val="en-GB"/>
        </w:rPr>
        <w:t>Subsistence strategies</w:t>
      </w:r>
      <w:r w:rsidRPr="002B220C">
        <w:rPr>
          <w:rFonts w:eastAsia="MS Mincho"/>
          <w:bCs/>
          <w:i/>
          <w:sz w:val="22"/>
          <w:szCs w:val="22"/>
          <w:lang w:val="en-GB"/>
        </w:rPr>
        <w:t xml:space="preserve"> </w:t>
      </w:r>
      <w:r w:rsidRPr="002B220C">
        <w:rPr>
          <w:bCs/>
          <w:i/>
          <w:sz w:val="22"/>
          <w:szCs w:val="22"/>
          <w:lang w:val="en-GB"/>
        </w:rPr>
        <w:t>in the Stone Age, direct and indirect evidence of fishing and gathering. Materials of the international conference dedicated to the 50th anniversary</w:t>
      </w:r>
      <w:r w:rsidRPr="002B220C">
        <w:rPr>
          <w:rFonts w:ascii="MS Mincho" w:eastAsia="MS Mincho" w:hAnsi="MS Mincho" w:cs="MS Mincho"/>
          <w:bCs/>
          <w:i/>
          <w:sz w:val="22"/>
          <w:szCs w:val="22"/>
          <w:lang w:val="en-GB"/>
        </w:rPr>
        <w:t> </w:t>
      </w:r>
      <w:r w:rsidRPr="002B220C">
        <w:rPr>
          <w:bCs/>
          <w:i/>
          <w:sz w:val="22"/>
          <w:szCs w:val="22"/>
          <w:lang w:val="en-GB"/>
        </w:rPr>
        <w:t>of V. M. Lozovski</w:t>
      </w:r>
      <w:r w:rsidRPr="002B220C">
        <w:rPr>
          <w:bCs/>
          <w:sz w:val="22"/>
          <w:szCs w:val="22"/>
          <w:lang w:val="en-GB"/>
        </w:rPr>
        <w:t xml:space="preserve">, Saint-Petersburg. </w:t>
      </w:r>
    </w:p>
    <w:p w14:paraId="19113FAF" w14:textId="0347A3DC" w:rsidR="00172F90" w:rsidRPr="002B220C" w:rsidRDefault="00172F90" w:rsidP="009E3AA3">
      <w:pPr>
        <w:pStyle w:val="FootnoteText"/>
        <w:spacing w:line="276" w:lineRule="auto"/>
        <w:rPr>
          <w:sz w:val="22"/>
          <w:szCs w:val="22"/>
          <w:lang w:val="en-GB"/>
        </w:rPr>
      </w:pPr>
      <w:r w:rsidRPr="002B220C">
        <w:rPr>
          <w:sz w:val="22"/>
          <w:szCs w:val="22"/>
          <w:lang w:val="en-GB"/>
        </w:rPr>
        <w:t xml:space="preserve">Théry-Parisot I., Chabal L., Costamagno S., eds. 2010. </w:t>
      </w:r>
      <w:r w:rsidRPr="002B220C">
        <w:rPr>
          <w:bCs/>
          <w:sz w:val="22"/>
          <w:szCs w:val="22"/>
          <w:u w:val="single"/>
          <w:lang w:val="en-GB"/>
        </w:rPr>
        <w:t>The taphonomy of burned organic residues and combustion features in archaeological contexts</w:t>
      </w:r>
      <w:r w:rsidRPr="002B220C">
        <w:rPr>
          <w:bCs/>
          <w:sz w:val="22"/>
          <w:szCs w:val="22"/>
          <w:lang w:val="en-GB"/>
        </w:rPr>
        <w:t xml:space="preserve">. </w:t>
      </w:r>
      <w:r w:rsidRPr="002B220C">
        <w:rPr>
          <w:bCs/>
          <w:i/>
          <w:sz w:val="22"/>
          <w:szCs w:val="22"/>
          <w:lang w:val="en-GB"/>
        </w:rPr>
        <w:t>P@lethnologie</w:t>
      </w:r>
      <w:r w:rsidR="009E3AA3" w:rsidRPr="002B220C">
        <w:rPr>
          <w:bCs/>
          <w:sz w:val="22"/>
          <w:szCs w:val="22"/>
          <w:lang w:val="en-GB"/>
        </w:rPr>
        <w:t xml:space="preserve"> 2.</w:t>
      </w:r>
    </w:p>
    <w:p w14:paraId="29124C57" w14:textId="77777777" w:rsidR="00172F90" w:rsidRPr="002B220C" w:rsidRDefault="00172F90" w:rsidP="009E3AA3">
      <w:pPr>
        <w:pStyle w:val="FootnoteText"/>
        <w:spacing w:line="276" w:lineRule="auto"/>
        <w:rPr>
          <w:sz w:val="22"/>
          <w:szCs w:val="22"/>
          <w:lang w:val="en-GB"/>
        </w:rPr>
      </w:pPr>
      <w:r w:rsidRPr="002B220C">
        <w:rPr>
          <w:sz w:val="22"/>
          <w:szCs w:val="22"/>
          <w:lang w:val="en-GB"/>
        </w:rPr>
        <w:t xml:space="preserve">Thoms A.V., Short L. M., Kamiya M, Laurence A. R. 2018. Ethnographies and Actualistic Cooking Experiments: Ethnoarchaeological Pathways </w:t>
      </w:r>
      <w:proofErr w:type="gramStart"/>
      <w:r w:rsidRPr="002B220C">
        <w:rPr>
          <w:sz w:val="22"/>
          <w:szCs w:val="22"/>
          <w:lang w:val="en-GB"/>
        </w:rPr>
        <w:t>toward</w:t>
      </w:r>
      <w:proofErr w:type="gramEnd"/>
      <w:r w:rsidRPr="002B220C">
        <w:rPr>
          <w:sz w:val="22"/>
          <w:szCs w:val="22"/>
          <w:lang w:val="en-GB"/>
        </w:rPr>
        <w:t xml:space="preserve"> Understanding Earth-Oven Variability in Archaeological Records, </w:t>
      </w:r>
      <w:r w:rsidRPr="002B220C">
        <w:rPr>
          <w:i/>
          <w:sz w:val="22"/>
          <w:szCs w:val="22"/>
          <w:lang w:val="en-GB"/>
        </w:rPr>
        <w:t>Ethnoarchaeology</w:t>
      </w:r>
      <w:r w:rsidRPr="002B220C">
        <w:rPr>
          <w:sz w:val="22"/>
          <w:szCs w:val="22"/>
          <w:lang w:val="en-GB"/>
        </w:rPr>
        <w:t> 10:2, 76-98.</w:t>
      </w:r>
    </w:p>
    <w:p w14:paraId="633F1C67" w14:textId="77777777" w:rsidR="00067992" w:rsidRPr="002B220C" w:rsidRDefault="00105050" w:rsidP="009E3AA3">
      <w:pPr>
        <w:pStyle w:val="FootnoteText"/>
        <w:spacing w:line="276" w:lineRule="auto"/>
        <w:rPr>
          <w:sz w:val="22"/>
          <w:szCs w:val="22"/>
          <w:lang w:val="en-GB"/>
        </w:rPr>
      </w:pPr>
      <w:r w:rsidRPr="002B220C">
        <w:rPr>
          <w:sz w:val="22"/>
          <w:szCs w:val="22"/>
          <w:lang w:val="en-GB"/>
        </w:rPr>
        <w:t>Wroth K.,</w:t>
      </w:r>
      <w:r w:rsidRPr="002B220C">
        <w:rPr>
          <w:bCs/>
          <w:sz w:val="22"/>
          <w:szCs w:val="22"/>
          <w:lang w:val="en-GB"/>
        </w:rPr>
        <w:t xml:space="preserve"> Cabanes D., Marston J. M., Aldeias V., Sandgathe D., Turq A., Goldberg P., Dibble H. L.</w:t>
      </w:r>
      <w:r w:rsidRPr="002B220C">
        <w:rPr>
          <w:sz w:val="22"/>
          <w:szCs w:val="22"/>
          <w:lang w:val="en-GB"/>
        </w:rPr>
        <w:t xml:space="preserve"> (2019). Neanderthal plant use and pyrotechnology: phytolith analysis from Roc de Marsal, France. </w:t>
      </w:r>
      <w:r w:rsidRPr="002B220C">
        <w:rPr>
          <w:i/>
          <w:sz w:val="22"/>
          <w:szCs w:val="22"/>
          <w:lang w:val="en-GB"/>
        </w:rPr>
        <w:t>Archaeological and Anthropological</w:t>
      </w:r>
      <w:r w:rsidRPr="002B220C">
        <w:rPr>
          <w:sz w:val="22"/>
          <w:szCs w:val="22"/>
          <w:lang w:val="en-GB"/>
        </w:rPr>
        <w:t xml:space="preserve"> </w:t>
      </w:r>
      <w:r w:rsidRPr="002B220C">
        <w:rPr>
          <w:i/>
          <w:sz w:val="22"/>
          <w:szCs w:val="22"/>
          <w:lang w:val="en-GB"/>
        </w:rPr>
        <w:t>Sciences</w:t>
      </w:r>
      <w:r w:rsidRPr="002B220C">
        <w:rPr>
          <w:sz w:val="22"/>
          <w:szCs w:val="22"/>
          <w:lang w:val="en-GB"/>
        </w:rPr>
        <w:t xml:space="preserve"> </w:t>
      </w:r>
      <w:r w:rsidRPr="002B220C">
        <w:rPr>
          <w:bCs/>
          <w:sz w:val="22"/>
          <w:szCs w:val="22"/>
          <w:lang w:val="en-GB"/>
        </w:rPr>
        <w:t>11</w:t>
      </w:r>
      <w:r w:rsidRPr="002B220C">
        <w:rPr>
          <w:sz w:val="22"/>
          <w:szCs w:val="22"/>
          <w:lang w:val="en-GB"/>
        </w:rPr>
        <w:t>:  4325–4346.</w:t>
      </w:r>
      <w:r w:rsidR="00067992" w:rsidRPr="002B220C">
        <w:rPr>
          <w:sz w:val="22"/>
          <w:szCs w:val="22"/>
          <w:lang w:val="en-GB"/>
        </w:rPr>
        <w:t xml:space="preserve"> </w:t>
      </w:r>
    </w:p>
    <w:p w14:paraId="5F549C94" w14:textId="07318E70" w:rsidR="00067992" w:rsidRPr="002B220C" w:rsidRDefault="00067992" w:rsidP="009E3AA3">
      <w:pPr>
        <w:pStyle w:val="FootnoteText"/>
        <w:spacing w:line="276" w:lineRule="auto"/>
        <w:rPr>
          <w:sz w:val="22"/>
          <w:szCs w:val="22"/>
          <w:lang w:val="en-GB"/>
        </w:rPr>
      </w:pPr>
      <w:r w:rsidRPr="002B220C">
        <w:rPr>
          <w:sz w:val="22"/>
          <w:szCs w:val="22"/>
          <w:lang w:val="en-GB"/>
        </w:rPr>
        <w:t xml:space="preserve">Zhou, Z., Y. Guan, X. Gao, and C. Wang. 2013. Heat Treatment and Associated Early Modern Human Behaviors in the Late Paleolithic at the Shuidonggou Site. </w:t>
      </w:r>
      <w:r w:rsidRPr="002B220C">
        <w:rPr>
          <w:i/>
          <w:sz w:val="22"/>
          <w:szCs w:val="22"/>
          <w:lang w:val="en-GB"/>
        </w:rPr>
        <w:t xml:space="preserve">Chinese Science Bulletin </w:t>
      </w:r>
      <w:r w:rsidRPr="002B220C">
        <w:rPr>
          <w:sz w:val="22"/>
          <w:szCs w:val="22"/>
          <w:lang w:val="en-GB"/>
        </w:rPr>
        <w:t xml:space="preserve">58 (15): 1801–1810. </w:t>
      </w:r>
    </w:p>
    <w:p w14:paraId="55205849" w14:textId="77777777" w:rsidR="009E3AA3" w:rsidRPr="002B220C" w:rsidRDefault="009E3AA3" w:rsidP="002A0244">
      <w:pPr>
        <w:tabs>
          <w:tab w:val="left" w:pos="3686"/>
          <w:tab w:val="right" w:pos="6096"/>
        </w:tabs>
        <w:ind w:left="-425" w:right="-567"/>
        <w:jc w:val="both"/>
        <w:rPr>
          <w:rFonts w:asciiTheme="minorHAnsi" w:hAnsiTheme="minorHAnsi" w:cstheme="minorHAnsi"/>
          <w:sz w:val="20"/>
          <w:szCs w:val="20"/>
          <w:lang w:val="en-GB"/>
        </w:rPr>
        <w:sectPr w:rsidR="009E3AA3" w:rsidRPr="002B220C" w:rsidSect="00683A65">
          <w:headerReference w:type="default" r:id="rId10"/>
          <w:footerReference w:type="even" r:id="rId11"/>
          <w:footerReference w:type="default" r:id="rId12"/>
          <w:headerReference w:type="first" r:id="rId13"/>
          <w:pgSz w:w="11906" w:h="16838"/>
          <w:pgMar w:top="1417" w:right="1417" w:bottom="1110" w:left="1417" w:header="708" w:footer="708" w:gutter="0"/>
          <w:cols w:space="708"/>
          <w:titlePg/>
          <w:docGrid w:linePitch="360"/>
        </w:sectPr>
      </w:pPr>
    </w:p>
    <w:p w14:paraId="0060C0CB" w14:textId="090D0FB5" w:rsidR="002A0244" w:rsidRPr="002B220C" w:rsidRDefault="002A0244" w:rsidP="00BA3D01">
      <w:pPr>
        <w:tabs>
          <w:tab w:val="left" w:pos="3686"/>
          <w:tab w:val="right" w:pos="6096"/>
        </w:tabs>
        <w:ind w:right="-567"/>
        <w:jc w:val="both"/>
        <w:rPr>
          <w:rFonts w:asciiTheme="minorHAnsi" w:hAnsiTheme="minorHAnsi" w:cstheme="minorHAnsi"/>
          <w:sz w:val="20"/>
          <w:szCs w:val="20"/>
          <w:lang w:val="en-GB"/>
        </w:rPr>
      </w:pPr>
    </w:p>
    <w:p w14:paraId="374D6C02"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30355501"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090ADDC2"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00EA1F84"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30C7BBBC"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7979D849" w14:textId="2303EB14" w:rsidR="005D1D5A" w:rsidRPr="002B220C" w:rsidRDefault="005D1D5A" w:rsidP="005D1D5A">
      <w:pPr>
        <w:spacing w:after="120"/>
        <w:jc w:val="center"/>
        <w:rPr>
          <w:rFonts w:ascii="Arial Narrow" w:hAnsi="Arial Narrow"/>
          <w:b/>
          <w:color w:val="31849B" w:themeColor="accent5" w:themeShade="BF"/>
          <w:sz w:val="32"/>
          <w:szCs w:val="32"/>
          <w:lang w:val="en-GB"/>
        </w:rPr>
      </w:pPr>
      <w:proofErr w:type="gramStart"/>
      <w:r w:rsidRPr="002B220C">
        <w:rPr>
          <w:rFonts w:ascii="Arial Narrow" w:hAnsi="Arial Narrow"/>
          <w:b/>
          <w:color w:val="31849B" w:themeColor="accent5" w:themeShade="BF"/>
          <w:sz w:val="32"/>
          <w:szCs w:val="32"/>
          <w:lang w:val="en-GB"/>
        </w:rPr>
        <w:t>Template :</w:t>
      </w:r>
      <w:proofErr w:type="gramEnd"/>
    </w:p>
    <w:p w14:paraId="526B6EAE"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Doctoral Research Proposal</w:t>
      </w:r>
    </w:p>
    <w:p w14:paraId="7E81D8B5"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2020-2023</w:t>
      </w:r>
    </w:p>
    <w:p w14:paraId="56638D3E"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Title Page</w:t>
      </w:r>
    </w:p>
    <w:p w14:paraId="442E562B"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40AC96DF" w14:textId="77777777" w:rsidR="005D1D5A" w:rsidRPr="002B220C" w:rsidRDefault="005D1D5A" w:rsidP="005D1D5A">
      <w:pPr>
        <w:pBdr>
          <w:top w:val="single" w:sz="4" w:space="1" w:color="auto"/>
          <w:left w:val="single" w:sz="4" w:space="4" w:color="auto"/>
          <w:bottom w:val="single" w:sz="4" w:space="1" w:color="auto"/>
          <w:right w:val="single" w:sz="4" w:space="4" w:color="auto"/>
        </w:pBdr>
        <w:spacing w:after="120"/>
        <w:jc w:val="center"/>
        <w:rPr>
          <w:rFonts w:ascii="Arial Narrow" w:hAnsi="Arial Narrow"/>
          <w:i/>
          <w:color w:val="000000" w:themeColor="text1"/>
          <w:sz w:val="28"/>
          <w:szCs w:val="28"/>
          <w:lang w:val="en-GB"/>
        </w:rPr>
      </w:pPr>
      <w:r w:rsidRPr="002B220C">
        <w:rPr>
          <w:rFonts w:ascii="Arial Narrow" w:hAnsi="Arial Narrow"/>
          <w:i/>
          <w:color w:val="000000" w:themeColor="text1"/>
          <w:sz w:val="28"/>
          <w:szCs w:val="28"/>
          <w:lang w:val="en-GB"/>
        </w:rPr>
        <w:t xml:space="preserve">Insert the title of your project </w:t>
      </w:r>
    </w:p>
    <w:p w14:paraId="3824CE64" w14:textId="77777777" w:rsidR="005D1D5A" w:rsidRPr="002B220C" w:rsidRDefault="005D1D5A" w:rsidP="005D1D5A">
      <w:pPr>
        <w:pBdr>
          <w:top w:val="single" w:sz="4" w:space="1" w:color="auto"/>
          <w:left w:val="single" w:sz="4" w:space="4" w:color="auto"/>
          <w:bottom w:val="single" w:sz="4" w:space="1" w:color="auto"/>
          <w:right w:val="single" w:sz="4" w:space="4" w:color="auto"/>
        </w:pBdr>
        <w:spacing w:after="120"/>
        <w:jc w:val="center"/>
        <w:rPr>
          <w:rFonts w:ascii="Arial Narrow" w:hAnsi="Arial Narrow"/>
          <w:i/>
          <w:color w:val="000000" w:themeColor="text1"/>
          <w:sz w:val="28"/>
          <w:szCs w:val="28"/>
          <w:lang w:val="en-GB"/>
        </w:rPr>
      </w:pPr>
      <w:r w:rsidRPr="002B220C">
        <w:rPr>
          <w:rFonts w:ascii="Arial Narrow" w:hAnsi="Arial Narrow"/>
          <w:i/>
          <w:color w:val="000000" w:themeColor="text1"/>
          <w:sz w:val="28"/>
          <w:szCs w:val="28"/>
          <w:lang w:val="en-GB"/>
        </w:rPr>
        <w:t>here</w:t>
      </w:r>
    </w:p>
    <w:p w14:paraId="770EA2F3"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078E2F34"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74B59928"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75C1875E"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1C731A76"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06CAD758"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2EB40078"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4A82C998"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167CA96F"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477CB94D" w14:textId="77777777" w:rsidR="005D1D5A" w:rsidRPr="002B220C" w:rsidRDefault="005D1D5A" w:rsidP="005D1D5A">
      <w:pPr>
        <w:spacing w:after="120"/>
        <w:jc w:val="center"/>
        <w:rPr>
          <w:rFonts w:ascii="Arial Narrow" w:hAnsi="Arial Narrow"/>
          <w:b/>
          <w:color w:val="31849B" w:themeColor="accent5" w:themeShade="BF"/>
          <w:sz w:val="32"/>
          <w:szCs w:val="32"/>
          <w:lang w:val="en-GB"/>
        </w:rPr>
        <w:sectPr w:rsidR="005D1D5A" w:rsidRPr="002B220C" w:rsidSect="005D1D5A">
          <w:headerReference w:type="default" r:id="rId14"/>
          <w:footerReference w:type="default" r:id="rId15"/>
          <w:type w:val="continuous"/>
          <w:pgSz w:w="11900" w:h="16840"/>
          <w:pgMar w:top="1417" w:right="1417" w:bottom="1417" w:left="1417" w:header="708" w:footer="708" w:gutter="0"/>
          <w:pgNumType w:start="0"/>
          <w:cols w:space="708"/>
          <w:titlePg/>
          <w:docGrid w:linePitch="360"/>
        </w:sectPr>
      </w:pPr>
    </w:p>
    <w:p w14:paraId="16DD9EBC"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4F1F4B04" w14:textId="77777777" w:rsidR="005D1D5A" w:rsidRPr="002B220C" w:rsidRDefault="005D1D5A" w:rsidP="005D1D5A">
      <w:pP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br w:type="page"/>
      </w:r>
    </w:p>
    <w:p w14:paraId="7E8DC58C" w14:textId="77777777" w:rsidR="005D1D5A" w:rsidRPr="002B220C" w:rsidRDefault="005D1D5A" w:rsidP="005D1D5A">
      <w:pPr>
        <w:pBdr>
          <w:bottom w:val="single" w:sz="4" w:space="1" w:color="auto"/>
        </w:pBdr>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lastRenderedPageBreak/>
        <w:t xml:space="preserve">Start page </w:t>
      </w:r>
      <w:proofErr w:type="gramStart"/>
      <w:r w:rsidRPr="002B220C">
        <w:rPr>
          <w:rFonts w:ascii="Arial Narrow" w:hAnsi="Arial Narrow"/>
          <w:b/>
          <w:color w:val="31849B" w:themeColor="accent5" w:themeShade="BF"/>
          <w:sz w:val="32"/>
          <w:szCs w:val="32"/>
          <w:lang w:val="en-GB"/>
        </w:rPr>
        <w:t>count :</w:t>
      </w:r>
      <w:proofErr w:type="gramEnd"/>
      <w:r w:rsidRPr="002B220C">
        <w:rPr>
          <w:rFonts w:ascii="Arial Narrow" w:hAnsi="Arial Narrow"/>
          <w:b/>
          <w:color w:val="31849B" w:themeColor="accent5" w:themeShade="BF"/>
          <w:sz w:val="32"/>
          <w:szCs w:val="32"/>
          <w:lang w:val="en-GB"/>
        </w:rPr>
        <w:t xml:space="preserve"> maximum 5 pages</w:t>
      </w:r>
    </w:p>
    <w:p w14:paraId="1FE077AF"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015C36BD" w14:textId="77777777" w:rsidR="005D1D5A" w:rsidRPr="002B220C" w:rsidRDefault="005D1D5A" w:rsidP="005D1D5A">
      <w:pPr>
        <w:pStyle w:val="ListParagraph"/>
        <w:numPr>
          <w:ilvl w:val="0"/>
          <w:numId w:val="25"/>
        </w:numPr>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Contextualization of the proposed research</w:t>
      </w:r>
    </w:p>
    <w:p w14:paraId="49ACB30C" w14:textId="77777777" w:rsidR="005D1D5A" w:rsidRPr="002B220C" w:rsidRDefault="005D1D5A" w:rsidP="005D1D5A">
      <w:pPr>
        <w:spacing w:after="120"/>
        <w:rPr>
          <w:rFonts w:ascii="Arial Narrow" w:hAnsi="Arial Narrow"/>
          <w:b/>
          <w:color w:val="31849B" w:themeColor="accent5" w:themeShade="BF"/>
          <w:sz w:val="32"/>
          <w:szCs w:val="32"/>
          <w:lang w:val="en-GB"/>
        </w:rPr>
      </w:pPr>
      <w:r w:rsidRPr="002B220C">
        <w:rPr>
          <w:rFonts w:ascii="Arial Narrow" w:hAnsi="Arial Narrow"/>
          <w:color w:val="000000" w:themeColor="text1"/>
          <w:lang w:val="en-GB"/>
        </w:rPr>
        <w:t xml:space="preserve">This section should highlight the novel and/or interdisciplinary aspects of the research </w:t>
      </w:r>
    </w:p>
    <w:p w14:paraId="015DAAA8"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Overview</w:t>
      </w:r>
    </w:p>
    <w:p w14:paraId="01689F10"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State-of-the-art</w:t>
      </w:r>
    </w:p>
    <w:p w14:paraId="25AAECDA"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Objectives</w:t>
      </w:r>
    </w:p>
    <w:p w14:paraId="294D2379" w14:textId="77777777" w:rsidR="005D1D5A" w:rsidRPr="002B220C" w:rsidRDefault="005D1D5A" w:rsidP="005D1D5A">
      <w:pPr>
        <w:spacing w:after="120"/>
        <w:rPr>
          <w:rFonts w:ascii="Arial Narrow" w:hAnsi="Arial Narrow"/>
          <w:b/>
          <w:color w:val="000000" w:themeColor="text1"/>
          <w:lang w:val="en-GB"/>
        </w:rPr>
      </w:pPr>
    </w:p>
    <w:p w14:paraId="0F56B3F6" w14:textId="77777777" w:rsidR="005D1D5A" w:rsidRPr="002B220C" w:rsidRDefault="005D1D5A" w:rsidP="005D1D5A">
      <w:pPr>
        <w:pStyle w:val="ListParagraph"/>
        <w:numPr>
          <w:ilvl w:val="0"/>
          <w:numId w:val="25"/>
        </w:numPr>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Materials and Methods</w:t>
      </w:r>
    </w:p>
    <w:p w14:paraId="0C429BC8" w14:textId="77777777" w:rsidR="005D1D5A" w:rsidRPr="002B220C" w:rsidRDefault="005D1D5A" w:rsidP="005D1D5A">
      <w:pPr>
        <w:spacing w:after="120"/>
        <w:rPr>
          <w:rFonts w:ascii="Arial Narrow" w:hAnsi="Arial Narrow"/>
          <w:color w:val="000000" w:themeColor="text1"/>
          <w:lang w:val="en-GB"/>
        </w:rPr>
      </w:pPr>
      <w:r w:rsidRPr="002B220C">
        <w:rPr>
          <w:rFonts w:ascii="Arial Narrow" w:hAnsi="Arial Narrow"/>
          <w:color w:val="000000" w:themeColor="text1"/>
          <w:lang w:val="en-GB"/>
        </w:rPr>
        <w:t>Emphasis should be put on the appropriateness of the materials and methods to answer the research question(s)</w:t>
      </w:r>
    </w:p>
    <w:p w14:paraId="725EF459"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Materials to be studied</w:t>
      </w:r>
    </w:p>
    <w:p w14:paraId="3FD0F4BA"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Methods implemented</w:t>
      </w:r>
    </w:p>
    <w:p w14:paraId="4E496580" w14:textId="77777777" w:rsidR="005D1D5A" w:rsidRPr="002B220C" w:rsidRDefault="005D1D5A" w:rsidP="005D1D5A">
      <w:pPr>
        <w:spacing w:after="120"/>
        <w:ind w:left="360"/>
        <w:rPr>
          <w:rFonts w:ascii="Arial Narrow" w:hAnsi="Arial Narrow"/>
          <w:b/>
          <w:color w:val="000000" w:themeColor="text1"/>
          <w:lang w:val="en-GB"/>
        </w:rPr>
      </w:pPr>
    </w:p>
    <w:p w14:paraId="70C7C8D9" w14:textId="77777777" w:rsidR="005D1D5A" w:rsidRPr="002B220C" w:rsidRDefault="005D1D5A" w:rsidP="005D1D5A">
      <w:pPr>
        <w:pStyle w:val="ListParagraph"/>
        <w:numPr>
          <w:ilvl w:val="0"/>
          <w:numId w:val="25"/>
        </w:numPr>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Results</w:t>
      </w:r>
    </w:p>
    <w:p w14:paraId="3B711582" w14:textId="77777777" w:rsidR="005D1D5A" w:rsidRPr="002B220C" w:rsidRDefault="005D1D5A" w:rsidP="005D1D5A">
      <w:pPr>
        <w:spacing w:after="120"/>
        <w:rPr>
          <w:rFonts w:ascii="Arial Narrow" w:hAnsi="Arial Narrow"/>
          <w:color w:val="000000" w:themeColor="text1"/>
          <w:lang w:val="en-GB"/>
        </w:rPr>
      </w:pPr>
      <w:r w:rsidRPr="002B220C">
        <w:rPr>
          <w:rFonts w:ascii="Arial Narrow" w:hAnsi="Arial Narrow"/>
          <w:color w:val="000000" w:themeColor="text1"/>
          <w:lang w:val="en-GB"/>
        </w:rPr>
        <w:t>It should be specified what potential regional/national/international impact the expected results will have</w:t>
      </w:r>
    </w:p>
    <w:p w14:paraId="7C52EC9F"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 xml:space="preserve">Expected scientific outcomes </w:t>
      </w:r>
    </w:p>
    <w:p w14:paraId="144C8C25"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Dissemination of the results</w:t>
      </w:r>
    </w:p>
    <w:p w14:paraId="57A92EFF"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107CD863" w14:textId="77777777" w:rsidR="005D1D5A" w:rsidRPr="002B220C" w:rsidRDefault="005D1D5A" w:rsidP="005D1D5A">
      <w:pPr>
        <w:pStyle w:val="ListParagraph"/>
        <w:numPr>
          <w:ilvl w:val="0"/>
          <w:numId w:val="25"/>
        </w:numPr>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Transfer of knowledge</w:t>
      </w:r>
    </w:p>
    <w:p w14:paraId="20860916" w14:textId="77777777" w:rsidR="005D1D5A" w:rsidRPr="002B220C" w:rsidRDefault="005D1D5A" w:rsidP="005D1D5A">
      <w:pPr>
        <w:spacing w:after="120"/>
        <w:rPr>
          <w:rFonts w:ascii="Arial Narrow" w:hAnsi="Arial Narrow"/>
          <w:color w:val="000000" w:themeColor="text1"/>
          <w:lang w:val="en-GB"/>
        </w:rPr>
      </w:pPr>
      <w:r w:rsidRPr="002B220C">
        <w:rPr>
          <w:rFonts w:ascii="Arial Narrow" w:hAnsi="Arial Narrow"/>
          <w:color w:val="000000" w:themeColor="text1"/>
          <w:lang w:val="en-GB"/>
        </w:rPr>
        <w:t>Suitability of the candidate to carry out the proposed research and adequacy of the Host Institution</w:t>
      </w:r>
    </w:p>
    <w:p w14:paraId="51175088"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Skills previously acquired by the candidate</w:t>
      </w:r>
    </w:p>
    <w:p w14:paraId="06794C73"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New skills the candidate aims at developing</w:t>
      </w:r>
    </w:p>
    <w:p w14:paraId="76767F7D" w14:textId="77777777" w:rsidR="005D1D5A" w:rsidRPr="002B220C" w:rsidRDefault="005D1D5A" w:rsidP="005D1D5A">
      <w:pPr>
        <w:spacing w:after="120"/>
        <w:rPr>
          <w:rFonts w:ascii="Arial Narrow" w:hAnsi="Arial Narrow"/>
          <w:b/>
          <w:color w:val="000000" w:themeColor="text1"/>
          <w:lang w:val="en-GB"/>
        </w:rPr>
      </w:pPr>
    </w:p>
    <w:p w14:paraId="3B05C297" w14:textId="77777777" w:rsidR="005D1D5A" w:rsidRPr="002B220C" w:rsidRDefault="005D1D5A" w:rsidP="005D1D5A">
      <w:pPr>
        <w:pStyle w:val="ListParagraph"/>
        <w:numPr>
          <w:ilvl w:val="0"/>
          <w:numId w:val="25"/>
        </w:numPr>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Strengths of the proposal</w:t>
      </w:r>
    </w:p>
    <w:p w14:paraId="6706EF26" w14:textId="77777777" w:rsidR="005D1D5A" w:rsidRPr="002B220C" w:rsidRDefault="005D1D5A" w:rsidP="005D1D5A">
      <w:pPr>
        <w:spacing w:after="120"/>
        <w:rPr>
          <w:rFonts w:ascii="Arial Narrow" w:hAnsi="Arial Narrow"/>
          <w:b/>
          <w:color w:val="31849B" w:themeColor="accent5" w:themeShade="BF"/>
          <w:sz w:val="32"/>
          <w:szCs w:val="32"/>
          <w:lang w:val="en-GB"/>
        </w:rPr>
      </w:pPr>
      <w:r w:rsidRPr="002B220C">
        <w:rPr>
          <w:rFonts w:ascii="Arial Narrow" w:hAnsi="Arial Narrow"/>
          <w:color w:val="000000" w:themeColor="text1"/>
          <w:lang w:val="en-GB"/>
        </w:rPr>
        <w:t>The workplan is expected to be coherent with the proposed activities and the duration of the doctoral contract.</w:t>
      </w:r>
    </w:p>
    <w:p w14:paraId="10116BE9"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Feasibility</w:t>
      </w:r>
    </w:p>
    <w:p w14:paraId="07657ABA"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Coherence</w:t>
      </w:r>
    </w:p>
    <w:p w14:paraId="5B21E412" w14:textId="77777777" w:rsidR="005D1D5A" w:rsidRPr="002B220C" w:rsidRDefault="005D1D5A" w:rsidP="005D1D5A">
      <w:pPr>
        <w:pStyle w:val="ListParagraph"/>
        <w:numPr>
          <w:ilvl w:val="1"/>
          <w:numId w:val="25"/>
        </w:numPr>
        <w:spacing w:after="120"/>
        <w:rPr>
          <w:rFonts w:ascii="Arial Narrow" w:hAnsi="Arial Narrow"/>
          <w:b/>
          <w:color w:val="000000" w:themeColor="text1"/>
          <w:lang w:val="en-GB"/>
        </w:rPr>
      </w:pPr>
      <w:r w:rsidRPr="002B220C">
        <w:rPr>
          <w:rFonts w:ascii="Arial Narrow" w:hAnsi="Arial Narrow"/>
          <w:b/>
          <w:color w:val="000000" w:themeColor="text1"/>
          <w:lang w:val="en-GB"/>
        </w:rPr>
        <w:t>General impact</w:t>
      </w:r>
    </w:p>
    <w:p w14:paraId="3E3770B6"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6FEBDEB7" w14:textId="77777777" w:rsidR="005D1D5A" w:rsidRPr="002B220C" w:rsidRDefault="005D1D5A" w:rsidP="005D1D5A">
      <w:pPr>
        <w:pStyle w:val="ListParagraph"/>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 xml:space="preserve"> </w:t>
      </w:r>
    </w:p>
    <w:p w14:paraId="46CC0233"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1B7D31C6"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2CEB4B34"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59B0CE4D"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6EE73397"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36B31CF8"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106B2C57"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7A90BBB3"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1D7DC7C7"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7D65D99B"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475A17FA"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6656B7A5"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27D02F60" w14:textId="77777777" w:rsidR="005D1D5A" w:rsidRPr="002B220C" w:rsidRDefault="005D1D5A" w:rsidP="005D1D5A">
      <w:pP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br w:type="page"/>
      </w:r>
    </w:p>
    <w:p w14:paraId="78B64811" w14:textId="77777777" w:rsidR="005D1D5A" w:rsidRPr="002B220C" w:rsidRDefault="005D1D5A" w:rsidP="005D1D5A">
      <w:pP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lastRenderedPageBreak/>
        <w:br w:type="page"/>
      </w:r>
    </w:p>
    <w:p w14:paraId="03F7BE59" w14:textId="77777777" w:rsidR="005D1D5A" w:rsidRPr="002B220C" w:rsidRDefault="005D1D5A" w:rsidP="005D1D5A">
      <w:pPr>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lastRenderedPageBreak/>
        <w:br w:type="page"/>
      </w:r>
    </w:p>
    <w:p w14:paraId="524E0DB6"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1770CD7F"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5D883476"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4D517CF7"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4A33F15D"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45BF4A43"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5690BF22"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0A01708B"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74473B44"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6BB99770"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49F387B7"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1EAA6434"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09D2E7E0"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7B162CB3"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1CBDD54D"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39ACB1A1"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31275258"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4C8EC02D"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1B6F5FC2"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1AB94E0D"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51F40184"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18EB1905"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0E2B9628" w14:textId="77777777" w:rsidR="005D1D5A" w:rsidRPr="002B220C" w:rsidRDefault="005D1D5A" w:rsidP="005D1D5A">
      <w:pPr>
        <w:spacing w:after="120"/>
        <w:rPr>
          <w:rFonts w:ascii="Arial Narrow" w:hAnsi="Arial Narrow"/>
          <w:b/>
          <w:color w:val="31849B" w:themeColor="accent5" w:themeShade="BF"/>
          <w:sz w:val="32"/>
          <w:szCs w:val="32"/>
          <w:lang w:val="en-GB"/>
        </w:rPr>
      </w:pPr>
    </w:p>
    <w:p w14:paraId="392C3EFE"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71797488" w14:textId="77777777" w:rsidR="005D1D5A" w:rsidRPr="002B220C" w:rsidRDefault="005D1D5A" w:rsidP="005D1D5A">
      <w:pPr>
        <w:spacing w:after="120"/>
        <w:jc w:val="center"/>
        <w:rPr>
          <w:rFonts w:ascii="Arial Narrow" w:hAnsi="Arial Narrow"/>
          <w:b/>
          <w:color w:val="31849B" w:themeColor="accent5" w:themeShade="BF"/>
          <w:sz w:val="32"/>
          <w:szCs w:val="32"/>
          <w:lang w:val="en-GB"/>
        </w:rPr>
      </w:pPr>
    </w:p>
    <w:p w14:paraId="5B787293" w14:textId="77777777" w:rsidR="005D1D5A" w:rsidRPr="002B220C" w:rsidRDefault="005D1D5A" w:rsidP="005D1D5A">
      <w:pPr>
        <w:pBdr>
          <w:bottom w:val="single" w:sz="4" w:space="1" w:color="auto"/>
        </w:pBdr>
        <w:spacing w:after="120"/>
        <w:rPr>
          <w:rFonts w:ascii="Arial Narrow" w:hAnsi="Arial Narrow"/>
          <w:b/>
          <w:color w:val="31849B" w:themeColor="accent5" w:themeShade="BF"/>
          <w:sz w:val="32"/>
          <w:szCs w:val="32"/>
          <w:lang w:val="en-GB"/>
        </w:rPr>
      </w:pPr>
      <w:r w:rsidRPr="002B220C">
        <w:rPr>
          <w:rFonts w:ascii="Arial Narrow" w:hAnsi="Arial Narrow"/>
          <w:b/>
          <w:color w:val="31849B" w:themeColor="accent5" w:themeShade="BF"/>
          <w:sz w:val="32"/>
          <w:szCs w:val="32"/>
          <w:lang w:val="en-GB"/>
        </w:rPr>
        <w:t>Stop page count= maximum 5 pages</w:t>
      </w:r>
    </w:p>
    <w:p w14:paraId="4CFA3EF0" w14:textId="77777777" w:rsidR="005D1D5A" w:rsidRPr="002B220C" w:rsidRDefault="005D1D5A" w:rsidP="00BA3D01">
      <w:pPr>
        <w:tabs>
          <w:tab w:val="left" w:pos="3686"/>
          <w:tab w:val="right" w:pos="6096"/>
        </w:tabs>
        <w:ind w:right="-567"/>
        <w:jc w:val="both"/>
        <w:rPr>
          <w:rFonts w:asciiTheme="minorHAnsi" w:hAnsiTheme="minorHAnsi" w:cstheme="minorHAnsi"/>
          <w:sz w:val="20"/>
          <w:szCs w:val="20"/>
          <w:lang w:val="en-GB"/>
        </w:rPr>
      </w:pPr>
    </w:p>
    <w:sectPr w:rsidR="005D1D5A" w:rsidRPr="002B220C" w:rsidSect="004C231F">
      <w:headerReference w:type="default" r:id="rId16"/>
      <w:type w:val="continuous"/>
      <w:pgSz w:w="11900" w:h="16840"/>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EF76" w16cex:dateUtc="2020-06-22T06:51: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DCC01" w14:textId="77777777" w:rsidR="00666F77" w:rsidRDefault="00666F77" w:rsidP="00040EBE">
      <w:r>
        <w:separator/>
      </w:r>
    </w:p>
  </w:endnote>
  <w:endnote w:type="continuationSeparator" w:id="0">
    <w:p w14:paraId="4AD55FF4" w14:textId="77777777" w:rsidR="00666F77" w:rsidRDefault="00666F77" w:rsidP="0004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40969784"/>
      <w:docPartObj>
        <w:docPartGallery w:val="Page Numbers (Bottom of Page)"/>
        <w:docPartUnique/>
      </w:docPartObj>
    </w:sdtPr>
    <w:sdtEndPr>
      <w:rPr>
        <w:rStyle w:val="PageNumber"/>
      </w:rPr>
    </w:sdtEndPr>
    <w:sdtContent>
      <w:p w14:paraId="14CB379E" w14:textId="77777777" w:rsidR="00844658" w:rsidRDefault="00844658" w:rsidP="008446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15C2C" w14:textId="77777777" w:rsidR="00844658" w:rsidRDefault="008446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03897128"/>
      <w:docPartObj>
        <w:docPartGallery w:val="Page Numbers (Bottom of Page)"/>
        <w:docPartUnique/>
      </w:docPartObj>
    </w:sdtPr>
    <w:sdtEndPr>
      <w:rPr>
        <w:rStyle w:val="PageNumber"/>
      </w:rPr>
    </w:sdtEndPr>
    <w:sdtContent>
      <w:p w14:paraId="6113B74F" w14:textId="77777777" w:rsidR="00844658" w:rsidRDefault="00844658" w:rsidP="008446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F574C">
          <w:rPr>
            <w:rStyle w:val="PageNumber"/>
            <w:noProof/>
          </w:rPr>
          <w:t>2</w:t>
        </w:r>
        <w:r>
          <w:rPr>
            <w:rStyle w:val="PageNumber"/>
          </w:rPr>
          <w:fldChar w:fldCharType="end"/>
        </w:r>
      </w:p>
    </w:sdtContent>
  </w:sdt>
  <w:p w14:paraId="4C6C47C9" w14:textId="77777777" w:rsidR="00844658" w:rsidRPr="00314DD8" w:rsidRDefault="00844658">
    <w:pPr>
      <w:pStyle w:val="Footer"/>
      <w:jc w:val="right"/>
      <w:rPr>
        <w:color w:val="7F7F7F" w:themeColor="text1" w:themeTint="80"/>
        <w:sz w:val="20"/>
        <w:szCs w:val="20"/>
      </w:rPr>
    </w:pPr>
  </w:p>
  <w:p w14:paraId="710ACE0C" w14:textId="77777777" w:rsidR="00844658" w:rsidRDefault="0084465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8DA0B" w14:textId="77777777" w:rsidR="005D1D5A" w:rsidRPr="004C231F" w:rsidRDefault="005D1D5A">
    <w:pPr>
      <w:pStyle w:val="Footer"/>
      <w:jc w:val="center"/>
      <w:rPr>
        <w:rFonts w:ascii="Arial Narrow" w:hAnsi="Arial Narrow"/>
        <w:b/>
        <w:color w:val="4F81BD" w:themeColor="accent1"/>
        <w:sz w:val="32"/>
        <w:szCs w:val="32"/>
      </w:rPr>
    </w:pPr>
    <w:r w:rsidRPr="004C231F">
      <w:rPr>
        <w:rFonts w:ascii="Arial Narrow" w:hAnsi="Arial Narrow"/>
        <w:b/>
        <w:color w:val="4F81BD" w:themeColor="accent1"/>
        <w:sz w:val="32"/>
        <w:szCs w:val="32"/>
      </w:rPr>
      <w:t xml:space="preserve">Page </w:t>
    </w:r>
    <w:r w:rsidRPr="004C231F">
      <w:rPr>
        <w:rFonts w:ascii="Arial Narrow" w:hAnsi="Arial Narrow"/>
        <w:b/>
        <w:color w:val="4F81BD" w:themeColor="accent1"/>
        <w:sz w:val="32"/>
        <w:szCs w:val="32"/>
      </w:rPr>
      <w:fldChar w:fldCharType="begin"/>
    </w:r>
    <w:r w:rsidRPr="004C231F">
      <w:rPr>
        <w:rFonts w:ascii="Arial Narrow" w:hAnsi="Arial Narrow"/>
        <w:b/>
        <w:color w:val="4F81BD" w:themeColor="accent1"/>
        <w:sz w:val="32"/>
        <w:szCs w:val="32"/>
      </w:rPr>
      <w:instrText xml:space="preserve"> PAGE  \* Arabic  \* MERGEFORMAT </w:instrText>
    </w:r>
    <w:r w:rsidRPr="004C231F">
      <w:rPr>
        <w:rFonts w:ascii="Arial Narrow" w:hAnsi="Arial Narrow"/>
        <w:b/>
        <w:color w:val="4F81BD" w:themeColor="accent1"/>
        <w:sz w:val="32"/>
        <w:szCs w:val="32"/>
      </w:rPr>
      <w:fldChar w:fldCharType="separate"/>
    </w:r>
    <w:r w:rsidR="00CF574C">
      <w:rPr>
        <w:rFonts w:ascii="Arial Narrow" w:hAnsi="Arial Narrow"/>
        <w:b/>
        <w:noProof/>
        <w:color w:val="4F81BD" w:themeColor="accent1"/>
        <w:sz w:val="32"/>
        <w:szCs w:val="32"/>
      </w:rPr>
      <w:t>1</w:t>
    </w:r>
    <w:r w:rsidRPr="004C231F">
      <w:rPr>
        <w:rFonts w:ascii="Arial Narrow" w:hAnsi="Arial Narrow"/>
        <w:b/>
        <w:color w:val="4F81BD" w:themeColor="accent1"/>
        <w:sz w:val="32"/>
        <w:szCs w:val="32"/>
      </w:rPr>
      <w:fldChar w:fldCharType="end"/>
    </w:r>
    <w:r w:rsidRPr="004C231F">
      <w:rPr>
        <w:rFonts w:ascii="Arial Narrow" w:hAnsi="Arial Narrow"/>
        <w:b/>
        <w:color w:val="4F81BD" w:themeColor="accent1"/>
        <w:sz w:val="32"/>
        <w:szCs w:val="32"/>
      </w:rPr>
      <w:t xml:space="preserve"> </w:t>
    </w:r>
  </w:p>
  <w:p w14:paraId="5AE1C517" w14:textId="77777777" w:rsidR="005D1D5A" w:rsidRDefault="005D1D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D658F" w14:textId="77777777" w:rsidR="00666F77" w:rsidRDefault="00666F77" w:rsidP="00040EBE">
      <w:r>
        <w:separator/>
      </w:r>
    </w:p>
  </w:footnote>
  <w:footnote w:type="continuationSeparator" w:id="0">
    <w:p w14:paraId="490D6C36" w14:textId="77777777" w:rsidR="00666F77" w:rsidRDefault="00666F77" w:rsidP="00040EBE">
      <w:r>
        <w:continuationSeparator/>
      </w:r>
    </w:p>
  </w:footnote>
  <w:footnote w:id="1">
    <w:p w14:paraId="0EC49790" w14:textId="77777777" w:rsidR="004E1E5D" w:rsidRPr="003D71D5" w:rsidRDefault="004E1E5D" w:rsidP="004E1E5D">
      <w:pPr>
        <w:pStyle w:val="FootnoteText"/>
        <w:rPr>
          <w:szCs w:val="18"/>
        </w:rPr>
      </w:pPr>
      <w:r w:rsidRPr="00C73072">
        <w:rPr>
          <w:rStyle w:val="FootnoteReference"/>
          <w:szCs w:val="18"/>
        </w:rPr>
        <w:footnoteRef/>
      </w:r>
      <w:r w:rsidRPr="00C73072">
        <w:rPr>
          <w:szCs w:val="18"/>
        </w:rPr>
        <w:t xml:space="preserve"> Roberts B. W., Radivojević M. (2015). Invention as a </w:t>
      </w:r>
      <w:proofErr w:type="gramStart"/>
      <w:r w:rsidRPr="00C73072">
        <w:rPr>
          <w:szCs w:val="18"/>
        </w:rPr>
        <w:t>Process:</w:t>
      </w:r>
      <w:proofErr w:type="gramEnd"/>
      <w:r w:rsidRPr="00C73072">
        <w:rPr>
          <w:szCs w:val="18"/>
        </w:rPr>
        <w:t xml:space="preserve"> Pyrotechnologies in Early Societies. </w:t>
      </w:r>
      <w:r w:rsidRPr="00C73072">
        <w:rPr>
          <w:i/>
          <w:szCs w:val="18"/>
        </w:rPr>
        <w:t>Cambridge Archaeological Journal</w:t>
      </w:r>
      <w:r w:rsidRPr="00C73072">
        <w:rPr>
          <w:szCs w:val="18"/>
        </w:rPr>
        <w:t xml:space="preserve"> </w:t>
      </w:r>
      <w:proofErr w:type="gramStart"/>
      <w:r w:rsidRPr="00C73072">
        <w:rPr>
          <w:szCs w:val="18"/>
        </w:rPr>
        <w:t>25:</w:t>
      </w:r>
      <w:proofErr w:type="gramEnd"/>
      <w:r w:rsidRPr="00C73072">
        <w:rPr>
          <w:szCs w:val="18"/>
        </w:rPr>
        <w:t xml:space="preserve"> 299-3</w:t>
      </w:r>
      <w:r>
        <w:rPr>
          <w:szCs w:val="18"/>
        </w:rPr>
        <w:t>06</w:t>
      </w:r>
      <w:r w:rsidRPr="00C73072">
        <w:rPr>
          <w:szCs w:val="18"/>
        </w:rPr>
        <w:t xml:space="preserve"> </w:t>
      </w:r>
    </w:p>
  </w:footnote>
  <w:footnote w:id="2">
    <w:p w14:paraId="26F72603" w14:textId="77777777" w:rsidR="004E1E5D" w:rsidRPr="0048193D" w:rsidRDefault="004E1E5D" w:rsidP="004E1E5D">
      <w:pPr>
        <w:pStyle w:val="FootnoteText"/>
        <w:rPr>
          <w:szCs w:val="18"/>
        </w:rPr>
      </w:pPr>
      <w:r w:rsidRPr="00D436C0">
        <w:rPr>
          <w:rStyle w:val="FootnoteReference"/>
          <w:szCs w:val="18"/>
        </w:rPr>
        <w:footnoteRef/>
      </w:r>
      <w:r w:rsidRPr="00D436C0">
        <w:rPr>
          <w:szCs w:val="18"/>
        </w:rPr>
        <w:t xml:space="preserve"> </w:t>
      </w:r>
      <w:r w:rsidRPr="0048193D">
        <w:rPr>
          <w:szCs w:val="18"/>
        </w:rPr>
        <w:t xml:space="preserve">Perlès, C. 1977. Préhistoire du Feu. </w:t>
      </w:r>
      <w:proofErr w:type="gramStart"/>
      <w:r w:rsidRPr="0048193D">
        <w:rPr>
          <w:szCs w:val="18"/>
        </w:rPr>
        <w:t>Paris:</w:t>
      </w:r>
      <w:proofErr w:type="gramEnd"/>
      <w:r w:rsidRPr="0048193D">
        <w:rPr>
          <w:szCs w:val="18"/>
        </w:rPr>
        <w:t xml:space="preserve"> Masson.</w:t>
      </w:r>
      <w:r w:rsidRPr="0048193D">
        <w:rPr>
          <w:rFonts w:ascii="MS Mincho" w:eastAsia="MS Mincho" w:hAnsi="MS Mincho" w:cs="MS Mincho"/>
          <w:szCs w:val="18"/>
        </w:rPr>
        <w:t> </w:t>
      </w:r>
    </w:p>
  </w:footnote>
  <w:footnote w:id="3">
    <w:p w14:paraId="727A0B7E" w14:textId="77777777" w:rsidR="004E1E5D" w:rsidRPr="0048193D" w:rsidRDefault="004E1E5D" w:rsidP="004E1E5D">
      <w:pPr>
        <w:pStyle w:val="FootnoteText"/>
      </w:pPr>
      <w:r w:rsidRPr="0048193D">
        <w:rPr>
          <w:rStyle w:val="FootnoteReference"/>
          <w:szCs w:val="18"/>
        </w:rPr>
        <w:footnoteRef/>
      </w:r>
      <w:r w:rsidRPr="0048193D">
        <w:rPr>
          <w:szCs w:val="18"/>
        </w:rPr>
        <w:t xml:space="preserve"> Hauptmann A., ed. 2000. </w:t>
      </w:r>
      <w:r w:rsidRPr="0048193D">
        <w:rPr>
          <w:bCs/>
          <w:szCs w:val="18"/>
          <w:u w:val="single"/>
        </w:rPr>
        <w:t>La pyrotechnologie à ses débuts. Evolution des premières industries faisant usage du feu</w:t>
      </w:r>
      <w:r w:rsidRPr="0048193D">
        <w:rPr>
          <w:bCs/>
          <w:i/>
          <w:szCs w:val="18"/>
        </w:rPr>
        <w:t>. Paléorient</w:t>
      </w:r>
      <w:r w:rsidRPr="0048193D">
        <w:rPr>
          <w:bCs/>
          <w:szCs w:val="18"/>
        </w:rPr>
        <w:t xml:space="preserve"> 26 (2).</w:t>
      </w:r>
    </w:p>
  </w:footnote>
  <w:footnote w:id="4">
    <w:p w14:paraId="4F17C8C6" w14:textId="77777777" w:rsidR="004E1E5D" w:rsidRPr="00F70506" w:rsidRDefault="004E1E5D" w:rsidP="004E1E5D">
      <w:pPr>
        <w:pStyle w:val="FootnoteText"/>
        <w:rPr>
          <w:szCs w:val="18"/>
        </w:rPr>
      </w:pPr>
      <w:r w:rsidRPr="00F70506">
        <w:rPr>
          <w:rStyle w:val="FootnoteReference"/>
          <w:szCs w:val="18"/>
        </w:rPr>
        <w:footnoteRef/>
      </w:r>
      <w:r w:rsidRPr="00F70506">
        <w:rPr>
          <w:szCs w:val="18"/>
        </w:rPr>
        <w:t xml:space="preserve"> Théry-Parisot, I., Costamagno S., Henry A., eds. 2009. </w:t>
      </w:r>
      <w:r w:rsidRPr="00F70506">
        <w:rPr>
          <w:i/>
          <w:szCs w:val="18"/>
        </w:rPr>
        <w:t xml:space="preserve">Fuel Management During the Palaeolithic and Mesolithic </w:t>
      </w:r>
      <w:proofErr w:type="gramStart"/>
      <w:r w:rsidRPr="00F70506">
        <w:rPr>
          <w:i/>
          <w:szCs w:val="18"/>
        </w:rPr>
        <w:t>Periods:</w:t>
      </w:r>
      <w:proofErr w:type="gramEnd"/>
      <w:r w:rsidRPr="00F70506">
        <w:rPr>
          <w:i/>
          <w:szCs w:val="18"/>
        </w:rPr>
        <w:t xml:space="preserve"> New Tools, New Interpretations</w:t>
      </w:r>
      <w:r w:rsidRPr="00F70506">
        <w:rPr>
          <w:szCs w:val="18"/>
        </w:rPr>
        <w:t xml:space="preserve">. BAR International Series 1914, </w:t>
      </w:r>
      <w:proofErr w:type="gramStart"/>
      <w:r w:rsidRPr="00F70506">
        <w:rPr>
          <w:szCs w:val="18"/>
        </w:rPr>
        <w:t>Oxford:</w:t>
      </w:r>
      <w:proofErr w:type="gramEnd"/>
      <w:r w:rsidRPr="00F70506">
        <w:rPr>
          <w:szCs w:val="18"/>
        </w:rPr>
        <w:t xml:space="preserve"> Archaeopress. </w:t>
      </w:r>
    </w:p>
  </w:footnote>
  <w:footnote w:id="5">
    <w:p w14:paraId="2A9469AC" w14:textId="77777777" w:rsidR="004E1E5D" w:rsidRPr="00D97A4B" w:rsidRDefault="004E1E5D" w:rsidP="004E1E5D">
      <w:pPr>
        <w:pStyle w:val="FootnoteText"/>
        <w:rPr>
          <w:bCs/>
          <w:szCs w:val="18"/>
        </w:rPr>
      </w:pPr>
      <w:r w:rsidRPr="008D3466">
        <w:rPr>
          <w:rStyle w:val="FootnoteReference"/>
          <w:szCs w:val="18"/>
        </w:rPr>
        <w:footnoteRef/>
      </w:r>
      <w:r w:rsidRPr="008D3466">
        <w:rPr>
          <w:szCs w:val="18"/>
        </w:rPr>
        <w:t xml:space="preserve"> Mallol C., Henry A. 2018. </w:t>
      </w:r>
      <w:r>
        <w:rPr>
          <w:szCs w:val="18"/>
        </w:rPr>
        <w:t xml:space="preserve">Introduction. </w:t>
      </w:r>
      <w:r w:rsidRPr="008D3466">
        <w:rPr>
          <w:bCs/>
          <w:szCs w:val="18"/>
          <w:u w:val="single"/>
        </w:rPr>
        <w:t xml:space="preserve">Ethnoarchaeology of fire and combustion </w:t>
      </w:r>
      <w:proofErr w:type="gramStart"/>
      <w:r w:rsidRPr="008D3466">
        <w:rPr>
          <w:bCs/>
          <w:szCs w:val="18"/>
          <w:u w:val="single"/>
        </w:rPr>
        <w:t>residues:</w:t>
      </w:r>
      <w:proofErr w:type="gramEnd"/>
      <w:r w:rsidRPr="008D3466">
        <w:rPr>
          <w:bCs/>
          <w:szCs w:val="18"/>
          <w:u w:val="single"/>
        </w:rPr>
        <w:t xml:space="preserve"> Current approaches.</w:t>
      </w:r>
      <w:r w:rsidRPr="008D3466">
        <w:rPr>
          <w:bCs/>
          <w:szCs w:val="18"/>
        </w:rPr>
        <w:t xml:space="preserve"> </w:t>
      </w:r>
      <w:r w:rsidRPr="008D3466">
        <w:rPr>
          <w:bCs/>
          <w:i/>
          <w:szCs w:val="18"/>
        </w:rPr>
        <w:t>Ethnoarchaeology</w:t>
      </w:r>
      <w:r w:rsidRPr="008D3466">
        <w:rPr>
          <w:bCs/>
          <w:szCs w:val="18"/>
        </w:rPr>
        <w:t xml:space="preserve"> 10 (2</w:t>
      </w:r>
      <w:proofErr w:type="gramStart"/>
      <w:r w:rsidRPr="008D3466">
        <w:rPr>
          <w:bCs/>
          <w:szCs w:val="18"/>
        </w:rPr>
        <w:t>):</w:t>
      </w:r>
      <w:proofErr w:type="gramEnd"/>
      <w:r w:rsidRPr="008D3466">
        <w:rPr>
          <w:bCs/>
          <w:szCs w:val="18"/>
        </w:rPr>
        <w:t xml:space="preserve"> 73-75.</w:t>
      </w:r>
    </w:p>
  </w:footnote>
  <w:footnote w:id="6">
    <w:p w14:paraId="1AA6AED9" w14:textId="2AF307C6" w:rsidR="004E1E5D" w:rsidRPr="00D97A4B" w:rsidRDefault="004E1E5D" w:rsidP="004E1E5D">
      <w:pPr>
        <w:jc w:val="both"/>
        <w:rPr>
          <w:rFonts w:asciiTheme="minorHAnsi" w:hAnsiTheme="minorHAnsi"/>
          <w:sz w:val="18"/>
          <w:szCs w:val="18"/>
        </w:rPr>
      </w:pPr>
      <w:r w:rsidRPr="00D97A4B">
        <w:rPr>
          <w:rStyle w:val="FootnoteReference"/>
          <w:sz w:val="18"/>
          <w:szCs w:val="18"/>
        </w:rPr>
        <w:footnoteRef/>
      </w:r>
      <w:r w:rsidRPr="00D97A4B">
        <w:rPr>
          <w:sz w:val="18"/>
          <w:szCs w:val="18"/>
        </w:rPr>
        <w:t xml:space="preserve"> e.g.,</w:t>
      </w:r>
      <w:r>
        <w:t xml:space="preserve"> </w:t>
      </w:r>
      <w:r w:rsidRPr="00914ED0">
        <w:rPr>
          <w:rStyle w:val="hlfld-contribauthor"/>
          <w:rFonts w:asciiTheme="minorHAnsi" w:hAnsiTheme="minorHAnsi"/>
          <w:color w:val="000000"/>
          <w:sz w:val="18"/>
          <w:szCs w:val="18"/>
        </w:rPr>
        <w:t>Leierer L.</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Jambrina-Enríquez M.</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Herrera-Herrera A. V.</w:t>
      </w:r>
      <w:proofErr w:type="gramStart"/>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 xml:space="preserve"> Connolly</w:t>
      </w:r>
      <w:proofErr w:type="gramEnd"/>
      <w:r w:rsidRPr="00914ED0">
        <w:rPr>
          <w:rStyle w:val="hlfld-contribauthor"/>
          <w:rFonts w:asciiTheme="minorHAnsi" w:hAnsiTheme="minorHAnsi"/>
          <w:color w:val="000000"/>
          <w:sz w:val="18"/>
          <w:szCs w:val="18"/>
        </w:rPr>
        <w:t xml:space="preserve"> R.</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 xml:space="preserve"> Hernández C. M.</w:t>
      </w:r>
      <w:r w:rsidRPr="00914ED0">
        <w:rPr>
          <w:rFonts w:asciiTheme="minorHAnsi" w:hAnsiTheme="minorHAnsi"/>
          <w:sz w:val="18"/>
          <w:szCs w:val="18"/>
        </w:rPr>
        <w:t>,</w:t>
      </w:r>
      <w:r w:rsidRPr="00914ED0">
        <w:rPr>
          <w:rStyle w:val="apple-converted-space"/>
          <w:rFonts w:asciiTheme="minorHAnsi" w:hAnsiTheme="minorHAnsi"/>
          <w:sz w:val="18"/>
          <w:szCs w:val="18"/>
        </w:rPr>
        <w:t> </w:t>
      </w:r>
      <w:r w:rsidRPr="00914ED0">
        <w:rPr>
          <w:rStyle w:val="hlfld-contribauthor"/>
          <w:rFonts w:asciiTheme="minorHAnsi" w:hAnsiTheme="minorHAnsi"/>
          <w:color w:val="000000"/>
          <w:sz w:val="18"/>
          <w:szCs w:val="18"/>
        </w:rPr>
        <w:t xml:space="preserve"> Galván B.</w:t>
      </w:r>
      <w:r w:rsidRPr="00914ED0">
        <w:rPr>
          <w:rFonts w:asciiTheme="minorHAnsi" w:hAnsiTheme="minorHAnsi"/>
          <w:color w:val="000000"/>
          <w:sz w:val="18"/>
          <w:szCs w:val="18"/>
          <w:shd w:val="clear" w:color="auto" w:fill="FFFFFF"/>
        </w:rPr>
        <w:t xml:space="preserve">, </w:t>
      </w:r>
      <w:r w:rsidRPr="00914ED0">
        <w:rPr>
          <w:rStyle w:val="hlfld-contribauthor"/>
          <w:rFonts w:asciiTheme="minorHAnsi" w:hAnsiTheme="minorHAnsi"/>
          <w:color w:val="000000"/>
          <w:sz w:val="18"/>
          <w:szCs w:val="18"/>
        </w:rPr>
        <w:t>Mallol C.</w:t>
      </w:r>
      <w:r w:rsidRPr="00914ED0">
        <w:rPr>
          <w:rFonts w:asciiTheme="minorHAnsi" w:hAnsiTheme="minorHAnsi"/>
          <w:color w:val="000000"/>
          <w:sz w:val="18"/>
          <w:szCs w:val="18"/>
          <w:shd w:val="clear" w:color="auto" w:fill="FFFFFF"/>
        </w:rPr>
        <w:t xml:space="preserve"> 2019. Insights into the timing, intensity and natural setting of Neanderthal occupation from the geoarchaeological study of combustion </w:t>
      </w:r>
      <w:proofErr w:type="gramStart"/>
      <w:r w:rsidRPr="00914ED0">
        <w:rPr>
          <w:rFonts w:asciiTheme="minorHAnsi" w:hAnsiTheme="minorHAnsi"/>
          <w:color w:val="000000"/>
          <w:sz w:val="18"/>
          <w:szCs w:val="18"/>
          <w:shd w:val="clear" w:color="auto" w:fill="FFFFFF"/>
        </w:rPr>
        <w:t>structures:</w:t>
      </w:r>
      <w:proofErr w:type="gramEnd"/>
      <w:r w:rsidRPr="00914ED0">
        <w:rPr>
          <w:rFonts w:asciiTheme="minorHAnsi" w:hAnsiTheme="minorHAnsi"/>
          <w:color w:val="000000"/>
          <w:sz w:val="18"/>
          <w:szCs w:val="18"/>
          <w:shd w:val="clear" w:color="auto" w:fill="FFFFFF"/>
        </w:rPr>
        <w:t xml:space="preserve"> A micromorphological and biomarker investigation of El Salt, unit Xb, Alcoy, Spain.</w:t>
      </w:r>
      <w:r w:rsidRPr="00914ED0">
        <w:rPr>
          <w:rStyle w:val="apple-converted-space"/>
          <w:rFonts w:asciiTheme="minorHAnsi" w:hAnsiTheme="minorHAnsi"/>
          <w:color w:val="000000"/>
          <w:sz w:val="18"/>
          <w:szCs w:val="18"/>
          <w:shd w:val="clear" w:color="auto" w:fill="FFFFFF"/>
        </w:rPr>
        <w:t> </w:t>
      </w:r>
      <w:r w:rsidRPr="00914ED0">
        <w:rPr>
          <w:rStyle w:val="nlmsource"/>
          <w:rFonts w:asciiTheme="minorHAnsi" w:hAnsiTheme="minorHAnsi"/>
          <w:i/>
          <w:iCs/>
          <w:color w:val="000000"/>
          <w:sz w:val="18"/>
          <w:szCs w:val="18"/>
        </w:rPr>
        <w:t>PLOS ONE</w:t>
      </w:r>
      <w:r w:rsidRPr="00914ED0">
        <w:rPr>
          <w:rStyle w:val="apple-converted-space"/>
          <w:rFonts w:asciiTheme="minorHAnsi" w:hAnsiTheme="minorHAnsi"/>
          <w:color w:val="000000"/>
          <w:sz w:val="18"/>
          <w:szCs w:val="18"/>
          <w:shd w:val="clear" w:color="auto" w:fill="FFFFFF"/>
        </w:rPr>
        <w:t> </w:t>
      </w:r>
      <w:proofErr w:type="gramStart"/>
      <w:r w:rsidRPr="00914ED0">
        <w:rPr>
          <w:rFonts w:asciiTheme="minorHAnsi" w:hAnsiTheme="minorHAnsi"/>
          <w:b/>
          <w:bCs/>
          <w:color w:val="000000"/>
          <w:sz w:val="18"/>
          <w:szCs w:val="18"/>
        </w:rPr>
        <w:t>14</w:t>
      </w:r>
      <w:r w:rsidR="00271DCD">
        <w:rPr>
          <w:rFonts w:asciiTheme="minorHAnsi" w:hAnsiTheme="minorHAnsi"/>
          <w:color w:val="000000"/>
          <w:sz w:val="18"/>
          <w:szCs w:val="18"/>
          <w:shd w:val="clear" w:color="auto" w:fill="FFFFFF"/>
        </w:rPr>
        <w:t>:</w:t>
      </w:r>
      <w:proofErr w:type="gramEnd"/>
      <w:r w:rsidR="00271DCD">
        <w:rPr>
          <w:rFonts w:asciiTheme="minorHAnsi" w:hAnsiTheme="minorHAnsi"/>
          <w:color w:val="000000"/>
          <w:sz w:val="18"/>
          <w:szCs w:val="18"/>
          <w:shd w:val="clear" w:color="auto" w:fill="FFFFFF"/>
        </w:rPr>
        <w:t>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0" w:type="dxa"/>
      <w:tblLook w:val="01E0" w:firstRow="1" w:lastRow="1" w:firstColumn="1" w:lastColumn="1" w:noHBand="0" w:noVBand="0"/>
    </w:tblPr>
    <w:tblGrid>
      <w:gridCol w:w="4880"/>
      <w:gridCol w:w="4190"/>
    </w:tblGrid>
    <w:tr w:rsidR="00844658" w:rsidRPr="00890762" w14:paraId="79A6D344" w14:textId="77777777" w:rsidTr="00A06B4F">
      <w:trPr>
        <w:trHeight w:val="1049"/>
      </w:trPr>
      <w:tc>
        <w:tcPr>
          <w:tcW w:w="4880" w:type="dxa"/>
          <w:shd w:val="clear" w:color="auto" w:fill="auto"/>
        </w:tcPr>
        <w:p w14:paraId="45D18381" w14:textId="77777777" w:rsidR="00844658" w:rsidRPr="004C4031" w:rsidRDefault="00844658" w:rsidP="007122F2">
          <w:pPr>
            <w:rPr>
              <w:rFonts w:ascii="Arial Narrow" w:hAnsi="Arial Narrow"/>
              <w:b/>
              <w:bCs/>
              <w:i/>
              <w:noProof/>
              <w:color w:val="1F497D"/>
            </w:rPr>
          </w:pPr>
          <w:r>
            <w:rPr>
              <w:rFonts w:ascii="Arial Narrow" w:hAnsi="Arial Narrow"/>
              <w:b/>
              <w:bCs/>
              <w:i/>
              <w:noProof/>
              <w:color w:val="1F497D"/>
              <w:lang w:val="en-GB" w:eastAsia="en-GB"/>
            </w:rPr>
            <w:drawing>
              <wp:inline distT="0" distB="0" distL="0" distR="0" wp14:anchorId="734B4A36" wp14:editId="187800FF">
                <wp:extent cx="1598626" cy="706095"/>
                <wp:effectExtent l="0" t="0" r="190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ysee-couleur.jpg"/>
                        <pic:cNvPicPr/>
                      </pic:nvPicPr>
                      <pic:blipFill>
                        <a:blip r:embed="rId1" cstate="screen">
                          <a:extLst>
                            <a:ext uri="{28A0092B-C50C-407E-A947-70E740481C1C}">
                              <a14:useLocalDpi xmlns:a14="http://schemas.microsoft.com/office/drawing/2010/main"/>
                            </a:ext>
                          </a:extLst>
                        </a:blip>
                        <a:stretch>
                          <a:fillRect/>
                        </a:stretch>
                      </pic:blipFill>
                      <pic:spPr>
                        <a:xfrm>
                          <a:off x="0" y="0"/>
                          <a:ext cx="1713111" cy="756662"/>
                        </a:xfrm>
                        <a:prstGeom prst="rect">
                          <a:avLst/>
                        </a:prstGeom>
                      </pic:spPr>
                    </pic:pic>
                  </a:graphicData>
                </a:graphic>
              </wp:inline>
            </w:drawing>
          </w:r>
        </w:p>
      </w:tc>
      <w:tc>
        <w:tcPr>
          <w:tcW w:w="4190" w:type="dxa"/>
          <w:shd w:val="clear" w:color="auto" w:fill="auto"/>
        </w:tcPr>
        <w:p w14:paraId="11AECACD" w14:textId="77777777" w:rsidR="00844658" w:rsidRPr="00EF5EFD" w:rsidRDefault="00844658" w:rsidP="007122F2">
          <w:pPr>
            <w:tabs>
              <w:tab w:val="left" w:pos="275"/>
            </w:tabs>
            <w:jc w:val="right"/>
            <w:rPr>
              <w:rFonts w:ascii="Arial Narrow" w:hAnsi="Arial Narrow"/>
              <w:b/>
              <w:bCs/>
              <w:sz w:val="36"/>
              <w:szCs w:val="36"/>
            </w:rPr>
          </w:pPr>
          <w:r>
            <w:rPr>
              <w:rFonts w:ascii="Arial Narrow" w:hAnsi="Arial Narrow"/>
              <w:sz w:val="36"/>
              <w:szCs w:val="36"/>
            </w:rPr>
            <w:t xml:space="preserve">Contrats doctoraux </w:t>
          </w:r>
          <w:r>
            <w:rPr>
              <w:rFonts w:ascii="Arial Narrow" w:hAnsi="Arial Narrow"/>
              <w:bCs/>
              <w:sz w:val="36"/>
              <w:szCs w:val="36"/>
            </w:rPr>
            <w:br/>
          </w:r>
          <w:r w:rsidRPr="00ED5CC6">
            <w:rPr>
              <w:rFonts w:ascii="Arial Narrow" w:hAnsi="Arial Narrow"/>
              <w:b/>
              <w:bCs/>
              <w:color w:val="31849B" w:themeColor="accent5" w:themeShade="BF"/>
              <w:sz w:val="36"/>
              <w:szCs w:val="36"/>
            </w:rPr>
            <w:t>2020</w:t>
          </w:r>
        </w:p>
      </w:tc>
    </w:tr>
  </w:tbl>
  <w:p w14:paraId="1003CBC5" w14:textId="77777777" w:rsidR="00844658" w:rsidRPr="00E72495" w:rsidRDefault="00844658" w:rsidP="00040EBE">
    <w:pPr>
      <w:pStyle w:val="Header"/>
      <w:rPr>
        <w:sz w:val="10"/>
        <w:szCs w:val="1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AB61" w14:textId="72B3C51E" w:rsidR="0071105B" w:rsidRDefault="0071105B" w:rsidP="0071105B">
    <w:pPr>
      <w:pStyle w:val="Header"/>
      <w:jc w:val="center"/>
    </w:pPr>
    <w:r w:rsidRPr="0071105B">
      <w:rPr>
        <w:noProof/>
        <w:lang w:val="en-GB" w:eastAsia="en-GB"/>
      </w:rPr>
      <w:drawing>
        <wp:inline distT="0" distB="0" distL="0" distR="0" wp14:anchorId="759DF606" wp14:editId="1CB8A622">
          <wp:extent cx="3123538" cy="1380664"/>
          <wp:effectExtent l="0" t="0" r="127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screen">
                    <a:extLst>
                      <a:ext uri="{28A0092B-C50C-407E-A947-70E740481C1C}">
                        <a14:useLocalDpi xmlns:a14="http://schemas.microsoft.com/office/drawing/2010/main"/>
                      </a:ext>
                    </a:extLst>
                  </a:blip>
                  <a:stretch>
                    <a:fillRect/>
                  </a:stretch>
                </pic:blipFill>
                <pic:spPr>
                  <a:xfrm>
                    <a:off x="0" y="0"/>
                    <a:ext cx="3148278" cy="1391599"/>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0" w:type="dxa"/>
      <w:tblLook w:val="01E0" w:firstRow="1" w:lastRow="1" w:firstColumn="1" w:lastColumn="1" w:noHBand="0" w:noVBand="0"/>
    </w:tblPr>
    <w:tblGrid>
      <w:gridCol w:w="4880"/>
      <w:gridCol w:w="4190"/>
    </w:tblGrid>
    <w:tr w:rsidR="005D1D5A" w:rsidRPr="00EF5EFD" w14:paraId="600C8E09" w14:textId="77777777" w:rsidTr="00CB1A1E">
      <w:trPr>
        <w:trHeight w:val="1049"/>
      </w:trPr>
      <w:tc>
        <w:tcPr>
          <w:tcW w:w="4880" w:type="dxa"/>
          <w:shd w:val="clear" w:color="auto" w:fill="auto"/>
        </w:tcPr>
        <w:p w14:paraId="36D06445" w14:textId="77777777" w:rsidR="005D1D5A" w:rsidRPr="004C4031" w:rsidRDefault="005D1D5A" w:rsidP="00CB1A1E">
          <w:pPr>
            <w:rPr>
              <w:rFonts w:ascii="Arial Narrow" w:hAnsi="Arial Narrow"/>
              <w:b/>
              <w:bCs/>
              <w:i/>
              <w:noProof/>
              <w:color w:val="1F497D"/>
            </w:rPr>
          </w:pPr>
          <w:r>
            <w:rPr>
              <w:rFonts w:ascii="Arial Narrow" w:hAnsi="Arial Narrow"/>
              <w:b/>
              <w:bCs/>
              <w:i/>
              <w:noProof/>
              <w:color w:val="1F497D"/>
              <w:lang w:val="en-GB" w:eastAsia="en-GB"/>
            </w:rPr>
            <w:drawing>
              <wp:inline distT="0" distB="0" distL="0" distR="0" wp14:anchorId="62AE79CC" wp14:editId="5A8368E4">
                <wp:extent cx="1598626" cy="706095"/>
                <wp:effectExtent l="0" t="0" r="1905" b="5715"/>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ysee-couleur.jpg"/>
                        <pic:cNvPicPr/>
                      </pic:nvPicPr>
                      <pic:blipFill>
                        <a:blip r:embed="rId1" cstate="screen">
                          <a:extLst>
                            <a:ext uri="{28A0092B-C50C-407E-A947-70E740481C1C}">
                              <a14:useLocalDpi xmlns:a14="http://schemas.microsoft.com/office/drawing/2010/main"/>
                            </a:ext>
                          </a:extLst>
                        </a:blip>
                        <a:stretch>
                          <a:fillRect/>
                        </a:stretch>
                      </pic:blipFill>
                      <pic:spPr>
                        <a:xfrm>
                          <a:off x="0" y="0"/>
                          <a:ext cx="1713111" cy="756662"/>
                        </a:xfrm>
                        <a:prstGeom prst="rect">
                          <a:avLst/>
                        </a:prstGeom>
                      </pic:spPr>
                    </pic:pic>
                  </a:graphicData>
                </a:graphic>
              </wp:inline>
            </w:drawing>
          </w:r>
        </w:p>
      </w:tc>
      <w:tc>
        <w:tcPr>
          <w:tcW w:w="4190" w:type="dxa"/>
          <w:shd w:val="clear" w:color="auto" w:fill="auto"/>
        </w:tcPr>
        <w:p w14:paraId="73A36FFF" w14:textId="77777777" w:rsidR="005D1D5A" w:rsidRPr="00EF5EFD" w:rsidRDefault="005D1D5A" w:rsidP="00CB1A1E">
          <w:pPr>
            <w:tabs>
              <w:tab w:val="left" w:pos="275"/>
            </w:tabs>
            <w:jc w:val="right"/>
            <w:rPr>
              <w:rFonts w:ascii="Arial Narrow" w:hAnsi="Arial Narrow"/>
              <w:b/>
              <w:bCs/>
              <w:sz w:val="36"/>
              <w:szCs w:val="36"/>
            </w:rPr>
          </w:pPr>
          <w:r>
            <w:rPr>
              <w:rFonts w:ascii="Arial Narrow" w:hAnsi="Arial Narrow"/>
              <w:sz w:val="36"/>
              <w:szCs w:val="36"/>
            </w:rPr>
            <w:t xml:space="preserve">Contrats doctoraux </w:t>
          </w:r>
          <w:r>
            <w:rPr>
              <w:rFonts w:ascii="Arial Narrow" w:hAnsi="Arial Narrow"/>
              <w:bCs/>
              <w:sz w:val="36"/>
              <w:szCs w:val="36"/>
            </w:rPr>
            <w:br/>
          </w:r>
          <w:r w:rsidRPr="00ED5CC6">
            <w:rPr>
              <w:rFonts w:ascii="Arial Narrow" w:hAnsi="Arial Narrow"/>
              <w:b/>
              <w:bCs/>
              <w:color w:val="31849B" w:themeColor="accent5" w:themeShade="BF"/>
              <w:sz w:val="36"/>
              <w:szCs w:val="36"/>
            </w:rPr>
            <w:t>2020</w:t>
          </w:r>
        </w:p>
      </w:tc>
    </w:tr>
  </w:tbl>
  <w:p w14:paraId="5CB1C79C" w14:textId="77777777" w:rsidR="005D1D5A" w:rsidRPr="004C231F" w:rsidRDefault="005D1D5A" w:rsidP="004C231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0" w:type="dxa"/>
      <w:tblLook w:val="01E0" w:firstRow="1" w:lastRow="1" w:firstColumn="1" w:lastColumn="1" w:noHBand="0" w:noVBand="0"/>
    </w:tblPr>
    <w:tblGrid>
      <w:gridCol w:w="4880"/>
      <w:gridCol w:w="4190"/>
    </w:tblGrid>
    <w:tr w:rsidR="0018429F" w:rsidRPr="00EF5EFD" w14:paraId="15A40BE8" w14:textId="77777777" w:rsidTr="00CB1A1E">
      <w:trPr>
        <w:trHeight w:val="1049"/>
      </w:trPr>
      <w:tc>
        <w:tcPr>
          <w:tcW w:w="4880" w:type="dxa"/>
          <w:shd w:val="clear" w:color="auto" w:fill="auto"/>
        </w:tcPr>
        <w:p w14:paraId="64F0B6F4" w14:textId="77777777" w:rsidR="0018429F" w:rsidRPr="004C4031" w:rsidRDefault="00FE21EF" w:rsidP="00CB1A1E">
          <w:pPr>
            <w:rPr>
              <w:rFonts w:ascii="Arial Narrow" w:hAnsi="Arial Narrow"/>
              <w:b/>
              <w:bCs/>
              <w:i/>
              <w:noProof/>
              <w:color w:val="1F497D"/>
            </w:rPr>
          </w:pPr>
          <w:r>
            <w:rPr>
              <w:rFonts w:ascii="Arial Narrow" w:hAnsi="Arial Narrow"/>
              <w:b/>
              <w:bCs/>
              <w:i/>
              <w:noProof/>
              <w:color w:val="1F497D"/>
              <w:lang w:val="en-GB" w:eastAsia="en-GB"/>
            </w:rPr>
            <w:drawing>
              <wp:inline distT="0" distB="0" distL="0" distR="0" wp14:anchorId="6AD68967" wp14:editId="43623093">
                <wp:extent cx="1598626" cy="706095"/>
                <wp:effectExtent l="0" t="0" r="1905" b="571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ysee-couleur.jpg"/>
                        <pic:cNvPicPr/>
                      </pic:nvPicPr>
                      <pic:blipFill>
                        <a:blip r:embed="rId1" cstate="screen">
                          <a:extLst>
                            <a:ext uri="{28A0092B-C50C-407E-A947-70E740481C1C}">
                              <a14:useLocalDpi xmlns:a14="http://schemas.microsoft.com/office/drawing/2010/main"/>
                            </a:ext>
                          </a:extLst>
                        </a:blip>
                        <a:stretch>
                          <a:fillRect/>
                        </a:stretch>
                      </pic:blipFill>
                      <pic:spPr>
                        <a:xfrm>
                          <a:off x="0" y="0"/>
                          <a:ext cx="1713111" cy="756662"/>
                        </a:xfrm>
                        <a:prstGeom prst="rect">
                          <a:avLst/>
                        </a:prstGeom>
                      </pic:spPr>
                    </pic:pic>
                  </a:graphicData>
                </a:graphic>
              </wp:inline>
            </w:drawing>
          </w:r>
        </w:p>
      </w:tc>
      <w:tc>
        <w:tcPr>
          <w:tcW w:w="4190" w:type="dxa"/>
          <w:shd w:val="clear" w:color="auto" w:fill="auto"/>
        </w:tcPr>
        <w:p w14:paraId="01A798F8" w14:textId="77777777" w:rsidR="0018429F" w:rsidRPr="00EF5EFD" w:rsidRDefault="00FE21EF" w:rsidP="00CB1A1E">
          <w:pPr>
            <w:tabs>
              <w:tab w:val="left" w:pos="275"/>
            </w:tabs>
            <w:jc w:val="right"/>
            <w:rPr>
              <w:rFonts w:ascii="Arial Narrow" w:hAnsi="Arial Narrow"/>
              <w:b/>
              <w:bCs/>
              <w:sz w:val="36"/>
              <w:szCs w:val="36"/>
            </w:rPr>
          </w:pPr>
          <w:r>
            <w:rPr>
              <w:rFonts w:ascii="Arial Narrow" w:hAnsi="Arial Narrow"/>
              <w:sz w:val="36"/>
              <w:szCs w:val="36"/>
            </w:rPr>
            <w:t xml:space="preserve">Contrats doctoraux </w:t>
          </w:r>
          <w:r>
            <w:rPr>
              <w:rFonts w:ascii="Arial Narrow" w:hAnsi="Arial Narrow"/>
              <w:bCs/>
              <w:sz w:val="36"/>
              <w:szCs w:val="36"/>
            </w:rPr>
            <w:br/>
          </w:r>
          <w:r w:rsidRPr="00ED5CC6">
            <w:rPr>
              <w:rFonts w:ascii="Arial Narrow" w:hAnsi="Arial Narrow"/>
              <w:b/>
              <w:bCs/>
              <w:color w:val="31849B" w:themeColor="accent5" w:themeShade="BF"/>
              <w:sz w:val="36"/>
              <w:szCs w:val="36"/>
            </w:rPr>
            <w:t>2020</w:t>
          </w:r>
        </w:p>
      </w:tc>
    </w:tr>
  </w:tbl>
  <w:p w14:paraId="51698465" w14:textId="77777777" w:rsidR="0018429F" w:rsidRPr="004C231F" w:rsidRDefault="00666F77" w:rsidP="004C23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3B9"/>
    <w:multiLevelType w:val="hybridMultilevel"/>
    <w:tmpl w:val="DB9EE00C"/>
    <w:lvl w:ilvl="0" w:tplc="51F81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8043B"/>
    <w:multiLevelType w:val="multilevel"/>
    <w:tmpl w:val="EC760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161E7"/>
    <w:multiLevelType w:val="hybridMultilevel"/>
    <w:tmpl w:val="40FC4DC0"/>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color w:val="31849B" w:themeColor="accent5" w:themeShade="BF"/>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F47A14"/>
    <w:multiLevelType w:val="hybridMultilevel"/>
    <w:tmpl w:val="4E880DE0"/>
    <w:lvl w:ilvl="0" w:tplc="B2981A32">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8249DC"/>
    <w:multiLevelType w:val="hybridMultilevel"/>
    <w:tmpl w:val="DE54B9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FF309E"/>
    <w:multiLevelType w:val="hybridMultilevel"/>
    <w:tmpl w:val="C9F2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7A1D16"/>
    <w:multiLevelType w:val="multilevel"/>
    <w:tmpl w:val="B130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41E10"/>
    <w:multiLevelType w:val="hybridMultilevel"/>
    <w:tmpl w:val="F1E451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DC058F2"/>
    <w:multiLevelType w:val="hybridMultilevel"/>
    <w:tmpl w:val="EB887C52"/>
    <w:lvl w:ilvl="0" w:tplc="1A06D4D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nsid w:val="302C3C4C"/>
    <w:multiLevelType w:val="hybridMultilevel"/>
    <w:tmpl w:val="95882DF4"/>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6E7E88"/>
    <w:multiLevelType w:val="hybridMultilevel"/>
    <w:tmpl w:val="A1A82368"/>
    <w:lvl w:ilvl="0" w:tplc="D41000E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34F25ACB"/>
    <w:multiLevelType w:val="hybridMultilevel"/>
    <w:tmpl w:val="9EF6CFEA"/>
    <w:lvl w:ilvl="0" w:tplc="63BE0D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0F58C3"/>
    <w:multiLevelType w:val="hybridMultilevel"/>
    <w:tmpl w:val="58C4B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A2497F"/>
    <w:multiLevelType w:val="hybridMultilevel"/>
    <w:tmpl w:val="158AD6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D202C3B"/>
    <w:multiLevelType w:val="hybridMultilevel"/>
    <w:tmpl w:val="9C5877C8"/>
    <w:lvl w:ilvl="0" w:tplc="5BD69CA2">
      <w:start w:val="1"/>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BB7A65"/>
    <w:multiLevelType w:val="hybridMultilevel"/>
    <w:tmpl w:val="52C0F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B45890"/>
    <w:multiLevelType w:val="hybridMultilevel"/>
    <w:tmpl w:val="870098AA"/>
    <w:lvl w:ilvl="0" w:tplc="040C0003">
      <w:start w:val="1"/>
      <w:numFmt w:val="bullet"/>
      <w:lvlText w:val="o"/>
      <w:lvlJc w:val="left"/>
      <w:pPr>
        <w:ind w:left="2136" w:hanging="360"/>
      </w:pPr>
      <w:rPr>
        <w:rFonts w:ascii="Courier New" w:hAnsi="Courier New" w:cs="Courier New" w:hint="default"/>
        <w:color w:val="31849B" w:themeColor="accent5" w:themeShade="BF"/>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nsid w:val="5D5C6F9E"/>
    <w:multiLevelType w:val="hybridMultilevel"/>
    <w:tmpl w:val="9546449E"/>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CE4104"/>
    <w:multiLevelType w:val="multilevel"/>
    <w:tmpl w:val="A80673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BA50AE"/>
    <w:multiLevelType w:val="hybridMultilevel"/>
    <w:tmpl w:val="F1E6C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39545C"/>
    <w:multiLevelType w:val="hybridMultilevel"/>
    <w:tmpl w:val="2E42F250"/>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556ECF"/>
    <w:multiLevelType w:val="hybridMultilevel"/>
    <w:tmpl w:val="A91E587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nsid w:val="6FA55ABF"/>
    <w:multiLevelType w:val="hybridMultilevel"/>
    <w:tmpl w:val="ADFA0696"/>
    <w:lvl w:ilvl="0" w:tplc="D910C5B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2616D1"/>
    <w:multiLevelType w:val="hybridMultilevel"/>
    <w:tmpl w:val="E698F606"/>
    <w:lvl w:ilvl="0" w:tplc="040C0003">
      <w:start w:val="1"/>
      <w:numFmt w:val="bullet"/>
      <w:lvlText w:val="o"/>
      <w:lvlJc w:val="left"/>
      <w:pPr>
        <w:ind w:left="720" w:hanging="360"/>
      </w:pPr>
      <w:rPr>
        <w:rFonts w:ascii="Courier New" w:hAnsi="Courier New" w:cs="Courier New"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8145A13"/>
    <w:multiLevelType w:val="hybridMultilevel"/>
    <w:tmpl w:val="944E0E7C"/>
    <w:lvl w:ilvl="0" w:tplc="8C9A6CD4">
      <w:start w:val="1"/>
      <w:numFmt w:val="bullet"/>
      <w:lvlText w:val=""/>
      <w:lvlJc w:val="left"/>
      <w:pPr>
        <w:ind w:left="3272" w:hanging="360"/>
      </w:pPr>
      <w:rPr>
        <w:rFonts w:ascii="Symbol" w:hAnsi="Symbol" w:hint="default"/>
        <w:color w:val="auto"/>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num w:numId="1">
    <w:abstractNumId w:val="5"/>
  </w:num>
  <w:num w:numId="2">
    <w:abstractNumId w:val="11"/>
  </w:num>
  <w:num w:numId="3">
    <w:abstractNumId w:val="24"/>
  </w:num>
  <w:num w:numId="4">
    <w:abstractNumId w:val="15"/>
  </w:num>
  <w:num w:numId="5">
    <w:abstractNumId w:val="3"/>
  </w:num>
  <w:num w:numId="6">
    <w:abstractNumId w:val="19"/>
  </w:num>
  <w:num w:numId="7">
    <w:abstractNumId w:val="6"/>
  </w:num>
  <w:num w:numId="8">
    <w:abstractNumId w:val="7"/>
  </w:num>
  <w:num w:numId="9">
    <w:abstractNumId w:val="9"/>
  </w:num>
  <w:num w:numId="10">
    <w:abstractNumId w:val="16"/>
  </w:num>
  <w:num w:numId="11">
    <w:abstractNumId w:val="17"/>
  </w:num>
  <w:num w:numId="12">
    <w:abstractNumId w:val="20"/>
  </w:num>
  <w:num w:numId="13">
    <w:abstractNumId w:val="2"/>
  </w:num>
  <w:num w:numId="14">
    <w:abstractNumId w:val="23"/>
  </w:num>
  <w:num w:numId="15">
    <w:abstractNumId w:val="13"/>
  </w:num>
  <w:num w:numId="16">
    <w:abstractNumId w:val="4"/>
  </w:num>
  <w:num w:numId="17">
    <w:abstractNumId w:val="8"/>
  </w:num>
  <w:num w:numId="18">
    <w:abstractNumId w:val="10"/>
  </w:num>
  <w:num w:numId="19">
    <w:abstractNumId w:val="21"/>
  </w:num>
  <w:num w:numId="20">
    <w:abstractNumId w:val="1"/>
  </w:num>
  <w:num w:numId="21">
    <w:abstractNumId w:val="12"/>
  </w:num>
  <w:num w:numId="22">
    <w:abstractNumId w:val="14"/>
  </w:num>
  <w:num w:numId="23">
    <w:abstractNumId w:val="22"/>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repar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vaxrse5tsza7e5wfw5d25h0xfr25xztt0z&quot;&gt;Bibliographie-mac&lt;record-ids&gt;&lt;item&gt;45&lt;/item&gt;&lt;item&gt;46&lt;/item&gt;&lt;item&gt;124&lt;/item&gt;&lt;item&gt;6345&lt;/item&gt;&lt;item&gt;6346&lt;/item&gt;&lt;item&gt;6455&lt;/item&gt;&lt;item&gt;6456&lt;/item&gt;&lt;item&gt;6457&lt;/item&gt;&lt;item&gt;6458&lt;/item&gt;&lt;item&gt;6459&lt;/item&gt;&lt;item&gt;6462&lt;/item&gt;&lt;item&gt;6468&lt;/item&gt;&lt;item&gt;6479&lt;/item&gt;&lt;item&gt;6480&lt;/item&gt;&lt;item&gt;6513&lt;/item&gt;&lt;item&gt;6541&lt;/item&gt;&lt;item&gt;6543&lt;/item&gt;&lt;item&gt;6544&lt;/item&gt;&lt;item&gt;6546&lt;/item&gt;&lt;item&gt;6547&lt;/item&gt;&lt;item&gt;6548&lt;/item&gt;&lt;/record-ids&gt;&lt;/item&gt;&lt;/Libraries&gt;"/>
  </w:docVars>
  <w:rsids>
    <w:rsidRoot w:val="00AC1CC5"/>
    <w:rsid w:val="00002A02"/>
    <w:rsid w:val="000166E0"/>
    <w:rsid w:val="00020A4D"/>
    <w:rsid w:val="00024C5D"/>
    <w:rsid w:val="00032CB6"/>
    <w:rsid w:val="00033665"/>
    <w:rsid w:val="00035D9D"/>
    <w:rsid w:val="00040EBE"/>
    <w:rsid w:val="0005633D"/>
    <w:rsid w:val="0006067C"/>
    <w:rsid w:val="00067992"/>
    <w:rsid w:val="0007254B"/>
    <w:rsid w:val="0008273D"/>
    <w:rsid w:val="000941F7"/>
    <w:rsid w:val="000A3F4A"/>
    <w:rsid w:val="000A59FB"/>
    <w:rsid w:val="000C58ED"/>
    <w:rsid w:val="000C5D53"/>
    <w:rsid w:val="000D100C"/>
    <w:rsid w:val="000D6F90"/>
    <w:rsid w:val="000F6423"/>
    <w:rsid w:val="00102A24"/>
    <w:rsid w:val="00105050"/>
    <w:rsid w:val="00106569"/>
    <w:rsid w:val="001079D7"/>
    <w:rsid w:val="00107DC3"/>
    <w:rsid w:val="00111E1C"/>
    <w:rsid w:val="001128FF"/>
    <w:rsid w:val="00116CE1"/>
    <w:rsid w:val="001272FF"/>
    <w:rsid w:val="00130363"/>
    <w:rsid w:val="00132D6A"/>
    <w:rsid w:val="00136D13"/>
    <w:rsid w:val="001379A2"/>
    <w:rsid w:val="00144842"/>
    <w:rsid w:val="00151DFC"/>
    <w:rsid w:val="00152307"/>
    <w:rsid w:val="00170142"/>
    <w:rsid w:val="00172F90"/>
    <w:rsid w:val="00175441"/>
    <w:rsid w:val="00180ED6"/>
    <w:rsid w:val="00181DCC"/>
    <w:rsid w:val="001846A8"/>
    <w:rsid w:val="00192395"/>
    <w:rsid w:val="0019416A"/>
    <w:rsid w:val="001B3E16"/>
    <w:rsid w:val="001B5448"/>
    <w:rsid w:val="001C0DD8"/>
    <w:rsid w:val="001C3197"/>
    <w:rsid w:val="001E011A"/>
    <w:rsid w:val="001E1BCE"/>
    <w:rsid w:val="001E3803"/>
    <w:rsid w:val="001E3F27"/>
    <w:rsid w:val="001F311E"/>
    <w:rsid w:val="00202957"/>
    <w:rsid w:val="00210E2F"/>
    <w:rsid w:val="00224086"/>
    <w:rsid w:val="00230FDB"/>
    <w:rsid w:val="0023356F"/>
    <w:rsid w:val="00236563"/>
    <w:rsid w:val="00241B90"/>
    <w:rsid w:val="00250015"/>
    <w:rsid w:val="002504EE"/>
    <w:rsid w:val="002555BF"/>
    <w:rsid w:val="00260003"/>
    <w:rsid w:val="00262253"/>
    <w:rsid w:val="00271DCD"/>
    <w:rsid w:val="00272B90"/>
    <w:rsid w:val="00280169"/>
    <w:rsid w:val="002A0244"/>
    <w:rsid w:val="002A1442"/>
    <w:rsid w:val="002B04ED"/>
    <w:rsid w:val="002B220C"/>
    <w:rsid w:val="002B333A"/>
    <w:rsid w:val="002B4FB0"/>
    <w:rsid w:val="002B4FC3"/>
    <w:rsid w:val="002B7DCA"/>
    <w:rsid w:val="002C169F"/>
    <w:rsid w:val="002C1D97"/>
    <w:rsid w:val="002C3ACB"/>
    <w:rsid w:val="002C43D3"/>
    <w:rsid w:val="002C43D7"/>
    <w:rsid w:val="002C5715"/>
    <w:rsid w:val="002D4FB4"/>
    <w:rsid w:val="002E18F3"/>
    <w:rsid w:val="002E71E9"/>
    <w:rsid w:val="002F167A"/>
    <w:rsid w:val="002F19A0"/>
    <w:rsid w:val="002F5B17"/>
    <w:rsid w:val="00300B0E"/>
    <w:rsid w:val="00301A79"/>
    <w:rsid w:val="0030218F"/>
    <w:rsid w:val="003035BA"/>
    <w:rsid w:val="0030389B"/>
    <w:rsid w:val="0031032E"/>
    <w:rsid w:val="00310E09"/>
    <w:rsid w:val="00314DD8"/>
    <w:rsid w:val="00316EA3"/>
    <w:rsid w:val="003262EF"/>
    <w:rsid w:val="00332745"/>
    <w:rsid w:val="003351BB"/>
    <w:rsid w:val="00344B91"/>
    <w:rsid w:val="00345CFE"/>
    <w:rsid w:val="003462AC"/>
    <w:rsid w:val="00352322"/>
    <w:rsid w:val="003617A2"/>
    <w:rsid w:val="003675AD"/>
    <w:rsid w:val="003700C0"/>
    <w:rsid w:val="003739E3"/>
    <w:rsid w:val="00376A0B"/>
    <w:rsid w:val="00381BBF"/>
    <w:rsid w:val="00393BBA"/>
    <w:rsid w:val="003B38AC"/>
    <w:rsid w:val="003C0061"/>
    <w:rsid w:val="003C55B7"/>
    <w:rsid w:val="003C5C6F"/>
    <w:rsid w:val="003D333D"/>
    <w:rsid w:val="003E0C6E"/>
    <w:rsid w:val="003E2861"/>
    <w:rsid w:val="003F43C5"/>
    <w:rsid w:val="003F49CB"/>
    <w:rsid w:val="00420C5E"/>
    <w:rsid w:val="00425880"/>
    <w:rsid w:val="004303E0"/>
    <w:rsid w:val="00431DD3"/>
    <w:rsid w:val="00452744"/>
    <w:rsid w:val="00456DCC"/>
    <w:rsid w:val="00460909"/>
    <w:rsid w:val="0046561C"/>
    <w:rsid w:val="0047623D"/>
    <w:rsid w:val="004868E8"/>
    <w:rsid w:val="00490E53"/>
    <w:rsid w:val="004916DE"/>
    <w:rsid w:val="00491E3E"/>
    <w:rsid w:val="00492E08"/>
    <w:rsid w:val="004B1A2A"/>
    <w:rsid w:val="004B3D92"/>
    <w:rsid w:val="004B4E5B"/>
    <w:rsid w:val="004B6AEC"/>
    <w:rsid w:val="004C2138"/>
    <w:rsid w:val="004D1894"/>
    <w:rsid w:val="004E0690"/>
    <w:rsid w:val="004E1E5D"/>
    <w:rsid w:val="004E318E"/>
    <w:rsid w:val="004E5F00"/>
    <w:rsid w:val="004E699E"/>
    <w:rsid w:val="004F26F5"/>
    <w:rsid w:val="004F4FB5"/>
    <w:rsid w:val="004F6656"/>
    <w:rsid w:val="0050026F"/>
    <w:rsid w:val="005068CA"/>
    <w:rsid w:val="00516697"/>
    <w:rsid w:val="005168D0"/>
    <w:rsid w:val="005207F8"/>
    <w:rsid w:val="005252E5"/>
    <w:rsid w:val="0053689D"/>
    <w:rsid w:val="00540863"/>
    <w:rsid w:val="00544876"/>
    <w:rsid w:val="005463D9"/>
    <w:rsid w:val="00581046"/>
    <w:rsid w:val="00581FC5"/>
    <w:rsid w:val="00591318"/>
    <w:rsid w:val="00593BDD"/>
    <w:rsid w:val="005A0ABC"/>
    <w:rsid w:val="005B2C71"/>
    <w:rsid w:val="005B4149"/>
    <w:rsid w:val="005B5B89"/>
    <w:rsid w:val="005B7F8B"/>
    <w:rsid w:val="005C2854"/>
    <w:rsid w:val="005C52BE"/>
    <w:rsid w:val="005C67F7"/>
    <w:rsid w:val="005D0497"/>
    <w:rsid w:val="005D1D5A"/>
    <w:rsid w:val="005D5218"/>
    <w:rsid w:val="005D6FB7"/>
    <w:rsid w:val="005E6909"/>
    <w:rsid w:val="005F6D4F"/>
    <w:rsid w:val="00616944"/>
    <w:rsid w:val="006219C9"/>
    <w:rsid w:val="00622245"/>
    <w:rsid w:val="006234D6"/>
    <w:rsid w:val="006246EA"/>
    <w:rsid w:val="0063213C"/>
    <w:rsid w:val="00632A11"/>
    <w:rsid w:val="00634702"/>
    <w:rsid w:val="00642AC7"/>
    <w:rsid w:val="00651194"/>
    <w:rsid w:val="006526B3"/>
    <w:rsid w:val="00654D07"/>
    <w:rsid w:val="0066000F"/>
    <w:rsid w:val="006653F4"/>
    <w:rsid w:val="00666224"/>
    <w:rsid w:val="00666F77"/>
    <w:rsid w:val="006679B2"/>
    <w:rsid w:val="00683A65"/>
    <w:rsid w:val="00686C7D"/>
    <w:rsid w:val="00692399"/>
    <w:rsid w:val="006A01D8"/>
    <w:rsid w:val="006A4BDA"/>
    <w:rsid w:val="006C08E3"/>
    <w:rsid w:val="006C240E"/>
    <w:rsid w:val="006C38DF"/>
    <w:rsid w:val="006D0D1F"/>
    <w:rsid w:val="006D150B"/>
    <w:rsid w:val="006D6BA6"/>
    <w:rsid w:val="006E7AD6"/>
    <w:rsid w:val="006F0500"/>
    <w:rsid w:val="006F0B28"/>
    <w:rsid w:val="006F36D6"/>
    <w:rsid w:val="006F56F8"/>
    <w:rsid w:val="0070250E"/>
    <w:rsid w:val="00706CA1"/>
    <w:rsid w:val="0071105B"/>
    <w:rsid w:val="007122F2"/>
    <w:rsid w:val="0071253B"/>
    <w:rsid w:val="00720562"/>
    <w:rsid w:val="00721490"/>
    <w:rsid w:val="0072528A"/>
    <w:rsid w:val="00726178"/>
    <w:rsid w:val="00731A88"/>
    <w:rsid w:val="00745A8B"/>
    <w:rsid w:val="00745FBB"/>
    <w:rsid w:val="007613FC"/>
    <w:rsid w:val="007636FD"/>
    <w:rsid w:val="00766178"/>
    <w:rsid w:val="007678DD"/>
    <w:rsid w:val="00773AAD"/>
    <w:rsid w:val="00774B68"/>
    <w:rsid w:val="0078652D"/>
    <w:rsid w:val="0078751B"/>
    <w:rsid w:val="007A5623"/>
    <w:rsid w:val="007B15A2"/>
    <w:rsid w:val="007B37BE"/>
    <w:rsid w:val="007B4541"/>
    <w:rsid w:val="007B61DE"/>
    <w:rsid w:val="007C3A67"/>
    <w:rsid w:val="007D175A"/>
    <w:rsid w:val="007D4F39"/>
    <w:rsid w:val="007D510C"/>
    <w:rsid w:val="007D5838"/>
    <w:rsid w:val="007D5915"/>
    <w:rsid w:val="007D7484"/>
    <w:rsid w:val="007E2F6D"/>
    <w:rsid w:val="007E4B51"/>
    <w:rsid w:val="007E60EB"/>
    <w:rsid w:val="007E64B0"/>
    <w:rsid w:val="007E7D13"/>
    <w:rsid w:val="007E7F95"/>
    <w:rsid w:val="007F4BCF"/>
    <w:rsid w:val="007F5875"/>
    <w:rsid w:val="007F79AE"/>
    <w:rsid w:val="008013FF"/>
    <w:rsid w:val="008020CC"/>
    <w:rsid w:val="008112F9"/>
    <w:rsid w:val="00820D4E"/>
    <w:rsid w:val="00824CA4"/>
    <w:rsid w:val="00825C34"/>
    <w:rsid w:val="00826D56"/>
    <w:rsid w:val="00844658"/>
    <w:rsid w:val="008474A5"/>
    <w:rsid w:val="00852B5E"/>
    <w:rsid w:val="00854725"/>
    <w:rsid w:val="00866BB6"/>
    <w:rsid w:val="00867BEA"/>
    <w:rsid w:val="00874F2E"/>
    <w:rsid w:val="008757E3"/>
    <w:rsid w:val="008810CE"/>
    <w:rsid w:val="0088169E"/>
    <w:rsid w:val="00881E9B"/>
    <w:rsid w:val="008820A0"/>
    <w:rsid w:val="0088450B"/>
    <w:rsid w:val="008900A4"/>
    <w:rsid w:val="008908E8"/>
    <w:rsid w:val="008A3459"/>
    <w:rsid w:val="008B562E"/>
    <w:rsid w:val="008B5EA4"/>
    <w:rsid w:val="008B78C9"/>
    <w:rsid w:val="008D5D34"/>
    <w:rsid w:val="008F0ADA"/>
    <w:rsid w:val="008F39EF"/>
    <w:rsid w:val="008F7628"/>
    <w:rsid w:val="009016B0"/>
    <w:rsid w:val="00906644"/>
    <w:rsid w:val="00912F67"/>
    <w:rsid w:val="00915A78"/>
    <w:rsid w:val="009179EF"/>
    <w:rsid w:val="009209BB"/>
    <w:rsid w:val="00922340"/>
    <w:rsid w:val="00922EA6"/>
    <w:rsid w:val="00930A68"/>
    <w:rsid w:val="00931A87"/>
    <w:rsid w:val="00932804"/>
    <w:rsid w:val="00934D5B"/>
    <w:rsid w:val="00935C53"/>
    <w:rsid w:val="00940F0D"/>
    <w:rsid w:val="00945F19"/>
    <w:rsid w:val="00952A0B"/>
    <w:rsid w:val="009642CE"/>
    <w:rsid w:val="00973531"/>
    <w:rsid w:val="00973977"/>
    <w:rsid w:val="00975A1B"/>
    <w:rsid w:val="009772F2"/>
    <w:rsid w:val="00977F40"/>
    <w:rsid w:val="00983ABF"/>
    <w:rsid w:val="00984ADD"/>
    <w:rsid w:val="009B3CDD"/>
    <w:rsid w:val="009B6F71"/>
    <w:rsid w:val="009C4C60"/>
    <w:rsid w:val="009D65E4"/>
    <w:rsid w:val="009E3AA3"/>
    <w:rsid w:val="009E3E4F"/>
    <w:rsid w:val="009E52C0"/>
    <w:rsid w:val="009F1D63"/>
    <w:rsid w:val="009F4BFE"/>
    <w:rsid w:val="009F70F3"/>
    <w:rsid w:val="00A00C91"/>
    <w:rsid w:val="00A06B4F"/>
    <w:rsid w:val="00A11476"/>
    <w:rsid w:val="00A17FE2"/>
    <w:rsid w:val="00A20C0A"/>
    <w:rsid w:val="00A25248"/>
    <w:rsid w:val="00A4218F"/>
    <w:rsid w:val="00A5026F"/>
    <w:rsid w:val="00A614FF"/>
    <w:rsid w:val="00A66F60"/>
    <w:rsid w:val="00A71C62"/>
    <w:rsid w:val="00A77BA4"/>
    <w:rsid w:val="00A840E4"/>
    <w:rsid w:val="00A846FB"/>
    <w:rsid w:val="00A9358A"/>
    <w:rsid w:val="00A9389B"/>
    <w:rsid w:val="00AA1E6B"/>
    <w:rsid w:val="00AA5DBB"/>
    <w:rsid w:val="00AA65E5"/>
    <w:rsid w:val="00AA71C8"/>
    <w:rsid w:val="00AC1CC5"/>
    <w:rsid w:val="00AD0CAE"/>
    <w:rsid w:val="00AD2D99"/>
    <w:rsid w:val="00AD62C9"/>
    <w:rsid w:val="00AD7036"/>
    <w:rsid w:val="00AE0C71"/>
    <w:rsid w:val="00AE2F67"/>
    <w:rsid w:val="00AE37CE"/>
    <w:rsid w:val="00AE3CA1"/>
    <w:rsid w:val="00AF4684"/>
    <w:rsid w:val="00B013EB"/>
    <w:rsid w:val="00B05F9C"/>
    <w:rsid w:val="00B07434"/>
    <w:rsid w:val="00B10D97"/>
    <w:rsid w:val="00B17E87"/>
    <w:rsid w:val="00B309A0"/>
    <w:rsid w:val="00B35291"/>
    <w:rsid w:val="00B402D9"/>
    <w:rsid w:val="00B423E2"/>
    <w:rsid w:val="00B63988"/>
    <w:rsid w:val="00B70D0F"/>
    <w:rsid w:val="00B74A10"/>
    <w:rsid w:val="00B76DFB"/>
    <w:rsid w:val="00B77A2F"/>
    <w:rsid w:val="00B80D3B"/>
    <w:rsid w:val="00B81021"/>
    <w:rsid w:val="00B85F02"/>
    <w:rsid w:val="00B86898"/>
    <w:rsid w:val="00B92089"/>
    <w:rsid w:val="00B9250E"/>
    <w:rsid w:val="00BA2908"/>
    <w:rsid w:val="00BA3D01"/>
    <w:rsid w:val="00BB0600"/>
    <w:rsid w:val="00BB58BD"/>
    <w:rsid w:val="00BB6381"/>
    <w:rsid w:val="00BC120B"/>
    <w:rsid w:val="00BC4F1E"/>
    <w:rsid w:val="00BE0D1F"/>
    <w:rsid w:val="00BE66B4"/>
    <w:rsid w:val="00BF48F2"/>
    <w:rsid w:val="00BF503A"/>
    <w:rsid w:val="00C00459"/>
    <w:rsid w:val="00C00C68"/>
    <w:rsid w:val="00C26830"/>
    <w:rsid w:val="00C40341"/>
    <w:rsid w:val="00C42304"/>
    <w:rsid w:val="00C43ED0"/>
    <w:rsid w:val="00C5078A"/>
    <w:rsid w:val="00C60665"/>
    <w:rsid w:val="00C62F6F"/>
    <w:rsid w:val="00C63DE3"/>
    <w:rsid w:val="00C70B27"/>
    <w:rsid w:val="00C710A1"/>
    <w:rsid w:val="00C830C2"/>
    <w:rsid w:val="00C86C3C"/>
    <w:rsid w:val="00C918FF"/>
    <w:rsid w:val="00C97E8E"/>
    <w:rsid w:val="00CA4D7A"/>
    <w:rsid w:val="00CA6A6A"/>
    <w:rsid w:val="00CB12BD"/>
    <w:rsid w:val="00CC7BDB"/>
    <w:rsid w:val="00CD1DA1"/>
    <w:rsid w:val="00CD1FEB"/>
    <w:rsid w:val="00CD7E05"/>
    <w:rsid w:val="00CE37DE"/>
    <w:rsid w:val="00CE6F0D"/>
    <w:rsid w:val="00CF574C"/>
    <w:rsid w:val="00D17BAA"/>
    <w:rsid w:val="00D326B7"/>
    <w:rsid w:val="00D32A02"/>
    <w:rsid w:val="00D3524B"/>
    <w:rsid w:val="00D40262"/>
    <w:rsid w:val="00D44D9A"/>
    <w:rsid w:val="00D50503"/>
    <w:rsid w:val="00D50B4E"/>
    <w:rsid w:val="00D53BC3"/>
    <w:rsid w:val="00D63A9F"/>
    <w:rsid w:val="00D70564"/>
    <w:rsid w:val="00D85198"/>
    <w:rsid w:val="00D95366"/>
    <w:rsid w:val="00DA008D"/>
    <w:rsid w:val="00DA2862"/>
    <w:rsid w:val="00DA6AB1"/>
    <w:rsid w:val="00DA7280"/>
    <w:rsid w:val="00DB3436"/>
    <w:rsid w:val="00DD0F38"/>
    <w:rsid w:val="00DD2173"/>
    <w:rsid w:val="00DD63AD"/>
    <w:rsid w:val="00DF6206"/>
    <w:rsid w:val="00E00108"/>
    <w:rsid w:val="00E1673B"/>
    <w:rsid w:val="00E26E5A"/>
    <w:rsid w:val="00E3014C"/>
    <w:rsid w:val="00E341B7"/>
    <w:rsid w:val="00E37732"/>
    <w:rsid w:val="00E54928"/>
    <w:rsid w:val="00E65F14"/>
    <w:rsid w:val="00E6726B"/>
    <w:rsid w:val="00E72495"/>
    <w:rsid w:val="00E73029"/>
    <w:rsid w:val="00E757A9"/>
    <w:rsid w:val="00E76225"/>
    <w:rsid w:val="00E76B6C"/>
    <w:rsid w:val="00E8456D"/>
    <w:rsid w:val="00E877EB"/>
    <w:rsid w:val="00E955D8"/>
    <w:rsid w:val="00E95EC9"/>
    <w:rsid w:val="00EA0F33"/>
    <w:rsid w:val="00EA19DE"/>
    <w:rsid w:val="00EA267F"/>
    <w:rsid w:val="00EB6FCA"/>
    <w:rsid w:val="00EC4533"/>
    <w:rsid w:val="00EC4E44"/>
    <w:rsid w:val="00EC5AD5"/>
    <w:rsid w:val="00ED2A75"/>
    <w:rsid w:val="00ED5CC6"/>
    <w:rsid w:val="00EE2EC7"/>
    <w:rsid w:val="00F102D9"/>
    <w:rsid w:val="00F10339"/>
    <w:rsid w:val="00F16970"/>
    <w:rsid w:val="00F17956"/>
    <w:rsid w:val="00F2188F"/>
    <w:rsid w:val="00F218DD"/>
    <w:rsid w:val="00F26F1B"/>
    <w:rsid w:val="00F27F54"/>
    <w:rsid w:val="00F300FA"/>
    <w:rsid w:val="00F3105C"/>
    <w:rsid w:val="00F35256"/>
    <w:rsid w:val="00F51D02"/>
    <w:rsid w:val="00F533BB"/>
    <w:rsid w:val="00F6052F"/>
    <w:rsid w:val="00F65133"/>
    <w:rsid w:val="00F6712D"/>
    <w:rsid w:val="00F7210F"/>
    <w:rsid w:val="00F743CF"/>
    <w:rsid w:val="00F74EAE"/>
    <w:rsid w:val="00F837FA"/>
    <w:rsid w:val="00F86C12"/>
    <w:rsid w:val="00F96B74"/>
    <w:rsid w:val="00F9715B"/>
    <w:rsid w:val="00FA0831"/>
    <w:rsid w:val="00FA5BBA"/>
    <w:rsid w:val="00FB0018"/>
    <w:rsid w:val="00FB5AC3"/>
    <w:rsid w:val="00FC3073"/>
    <w:rsid w:val="00FC4C92"/>
    <w:rsid w:val="00FD1149"/>
    <w:rsid w:val="00FD18E4"/>
    <w:rsid w:val="00FD6AAD"/>
    <w:rsid w:val="00FD7BFE"/>
    <w:rsid w:val="00FE21EF"/>
    <w:rsid w:val="00FE6B3E"/>
    <w:rsid w:val="00FE7451"/>
    <w:rsid w:val="00FF790D"/>
    <w:rsid w:val="00FF79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5D76E0"/>
  <w15:docId w15:val="{66227F5A-070F-594A-ADA2-1B8CA51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6A"/>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link w:val="Heading1Char"/>
    <w:uiPriority w:val="9"/>
    <w:qFormat/>
    <w:rsid w:val="00301A7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FE"/>
    <w:pPr>
      <w:ind w:left="720"/>
      <w:contextualSpacing/>
    </w:pPr>
  </w:style>
  <w:style w:type="character" w:styleId="Hyperlink">
    <w:name w:val="Hyperlink"/>
    <w:uiPriority w:val="99"/>
    <w:unhideWhenUsed/>
    <w:rsid w:val="003617A2"/>
    <w:rPr>
      <w:color w:val="0000FF"/>
      <w:u w:val="single"/>
    </w:rPr>
  </w:style>
  <w:style w:type="table" w:styleId="TableGrid">
    <w:name w:val="Table Grid"/>
    <w:basedOn w:val="TableNormal"/>
    <w:uiPriority w:val="59"/>
    <w:rsid w:val="00E75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0EBE"/>
    <w:pPr>
      <w:tabs>
        <w:tab w:val="center" w:pos="4536"/>
        <w:tab w:val="right" w:pos="9072"/>
      </w:tabs>
    </w:pPr>
  </w:style>
  <w:style w:type="character" w:customStyle="1" w:styleId="HeaderChar">
    <w:name w:val="Header Char"/>
    <w:basedOn w:val="DefaultParagraphFont"/>
    <w:link w:val="Header"/>
    <w:uiPriority w:val="99"/>
    <w:rsid w:val="00040EBE"/>
  </w:style>
  <w:style w:type="paragraph" w:styleId="Footer">
    <w:name w:val="footer"/>
    <w:basedOn w:val="Normal"/>
    <w:link w:val="FooterChar"/>
    <w:uiPriority w:val="99"/>
    <w:unhideWhenUsed/>
    <w:rsid w:val="00040EBE"/>
    <w:pPr>
      <w:tabs>
        <w:tab w:val="center" w:pos="4536"/>
        <w:tab w:val="right" w:pos="9072"/>
      </w:tabs>
    </w:pPr>
  </w:style>
  <w:style w:type="character" w:customStyle="1" w:styleId="FooterChar">
    <w:name w:val="Footer Char"/>
    <w:basedOn w:val="DefaultParagraphFont"/>
    <w:link w:val="Footer"/>
    <w:uiPriority w:val="99"/>
    <w:rsid w:val="00040EBE"/>
  </w:style>
  <w:style w:type="paragraph" w:styleId="BalloonText">
    <w:name w:val="Balloon Text"/>
    <w:basedOn w:val="Normal"/>
    <w:link w:val="BalloonTextChar"/>
    <w:uiPriority w:val="99"/>
    <w:semiHidden/>
    <w:unhideWhenUsed/>
    <w:rsid w:val="00040EBE"/>
    <w:rPr>
      <w:rFonts w:ascii="Tahoma" w:hAnsi="Tahoma" w:cs="Tahoma"/>
      <w:sz w:val="16"/>
      <w:szCs w:val="16"/>
    </w:rPr>
  </w:style>
  <w:style w:type="character" w:customStyle="1" w:styleId="BalloonTextChar">
    <w:name w:val="Balloon Text Char"/>
    <w:basedOn w:val="DefaultParagraphFont"/>
    <w:link w:val="BalloonText"/>
    <w:uiPriority w:val="99"/>
    <w:semiHidden/>
    <w:rsid w:val="00040EBE"/>
    <w:rPr>
      <w:rFonts w:ascii="Tahoma" w:hAnsi="Tahoma" w:cs="Tahoma"/>
      <w:sz w:val="16"/>
      <w:szCs w:val="16"/>
    </w:rPr>
  </w:style>
  <w:style w:type="paragraph" w:customStyle="1" w:styleId="2909F619802848F09E01365C32F34654">
    <w:name w:val="2909F619802848F09E01365C32F34654"/>
    <w:rsid w:val="00116CE1"/>
    <w:rPr>
      <w:rFonts w:eastAsiaTheme="minorEastAsia"/>
      <w:lang w:eastAsia="fr-FR"/>
    </w:rPr>
  </w:style>
  <w:style w:type="paragraph" w:styleId="FootnoteText">
    <w:name w:val="footnote text"/>
    <w:basedOn w:val="Normal"/>
    <w:link w:val="FootnoteTextChar"/>
    <w:uiPriority w:val="99"/>
    <w:unhideWhenUsed/>
    <w:rsid w:val="00B17E87"/>
    <w:pPr>
      <w:contextualSpacing/>
      <w:jc w:val="both"/>
    </w:pPr>
    <w:rPr>
      <w:sz w:val="18"/>
      <w:szCs w:val="20"/>
    </w:rPr>
  </w:style>
  <w:style w:type="character" w:customStyle="1" w:styleId="FootnoteTextChar">
    <w:name w:val="Footnote Text Char"/>
    <w:basedOn w:val="DefaultParagraphFont"/>
    <w:link w:val="FootnoteText"/>
    <w:uiPriority w:val="99"/>
    <w:rsid w:val="00B17E87"/>
    <w:rPr>
      <w:sz w:val="18"/>
      <w:szCs w:val="20"/>
    </w:rPr>
  </w:style>
  <w:style w:type="character" w:styleId="FootnoteReference">
    <w:name w:val="footnote reference"/>
    <w:basedOn w:val="DefaultParagraphFont"/>
    <w:uiPriority w:val="99"/>
    <w:unhideWhenUsed/>
    <w:rsid w:val="005B5B89"/>
    <w:rPr>
      <w:vertAlign w:val="superscript"/>
    </w:rPr>
  </w:style>
  <w:style w:type="character" w:styleId="FollowedHyperlink">
    <w:name w:val="FollowedHyperlink"/>
    <w:basedOn w:val="DefaultParagraphFont"/>
    <w:uiPriority w:val="99"/>
    <w:semiHidden/>
    <w:unhideWhenUsed/>
    <w:rsid w:val="00774B68"/>
    <w:rPr>
      <w:color w:val="800080" w:themeColor="followedHyperlink"/>
      <w:u w:val="single"/>
    </w:rPr>
  </w:style>
  <w:style w:type="character" w:customStyle="1" w:styleId="Mentionnonrsolue1">
    <w:name w:val="Mention non résolue1"/>
    <w:basedOn w:val="DefaultParagraphFont"/>
    <w:uiPriority w:val="99"/>
    <w:semiHidden/>
    <w:unhideWhenUsed/>
    <w:rsid w:val="002B333A"/>
    <w:rPr>
      <w:color w:val="605E5C"/>
      <w:shd w:val="clear" w:color="auto" w:fill="E1DFDD"/>
    </w:rPr>
  </w:style>
  <w:style w:type="character" w:styleId="CommentReference">
    <w:name w:val="annotation reference"/>
    <w:basedOn w:val="DefaultParagraphFont"/>
    <w:uiPriority w:val="99"/>
    <w:semiHidden/>
    <w:unhideWhenUsed/>
    <w:rsid w:val="005168D0"/>
    <w:rPr>
      <w:sz w:val="18"/>
      <w:szCs w:val="18"/>
    </w:rPr>
  </w:style>
  <w:style w:type="paragraph" w:styleId="CommentText">
    <w:name w:val="annotation text"/>
    <w:basedOn w:val="Normal"/>
    <w:link w:val="CommentTextChar"/>
    <w:uiPriority w:val="99"/>
    <w:semiHidden/>
    <w:unhideWhenUsed/>
    <w:rsid w:val="005168D0"/>
  </w:style>
  <w:style w:type="character" w:customStyle="1" w:styleId="CommentTextChar">
    <w:name w:val="Comment Text Char"/>
    <w:basedOn w:val="DefaultParagraphFont"/>
    <w:link w:val="CommentText"/>
    <w:uiPriority w:val="99"/>
    <w:semiHidden/>
    <w:rsid w:val="005168D0"/>
    <w:rPr>
      <w:sz w:val="24"/>
      <w:szCs w:val="24"/>
    </w:rPr>
  </w:style>
  <w:style w:type="paragraph" w:styleId="CommentSubject">
    <w:name w:val="annotation subject"/>
    <w:basedOn w:val="CommentText"/>
    <w:next w:val="CommentText"/>
    <w:link w:val="CommentSubjectChar"/>
    <w:uiPriority w:val="99"/>
    <w:semiHidden/>
    <w:unhideWhenUsed/>
    <w:rsid w:val="005168D0"/>
    <w:rPr>
      <w:b/>
      <w:bCs/>
      <w:sz w:val="20"/>
      <w:szCs w:val="20"/>
    </w:rPr>
  </w:style>
  <w:style w:type="character" w:customStyle="1" w:styleId="CommentSubjectChar">
    <w:name w:val="Comment Subject Char"/>
    <w:basedOn w:val="CommentTextChar"/>
    <w:link w:val="CommentSubject"/>
    <w:uiPriority w:val="99"/>
    <w:semiHidden/>
    <w:rsid w:val="005168D0"/>
    <w:rPr>
      <w:b/>
      <w:bCs/>
      <w:sz w:val="20"/>
      <w:szCs w:val="20"/>
    </w:rPr>
  </w:style>
  <w:style w:type="character" w:styleId="PageNumber">
    <w:name w:val="page number"/>
    <w:basedOn w:val="DefaultParagraphFont"/>
    <w:uiPriority w:val="99"/>
    <w:semiHidden/>
    <w:unhideWhenUsed/>
    <w:rsid w:val="0046561C"/>
  </w:style>
  <w:style w:type="paragraph" w:customStyle="1" w:styleId="EndNoteBibliographyTitle">
    <w:name w:val="EndNote Bibliography Title"/>
    <w:basedOn w:val="Normal"/>
    <w:link w:val="EndNoteBibliographyTitleCar"/>
    <w:rsid w:val="00180ED6"/>
    <w:pPr>
      <w:jc w:val="center"/>
    </w:pPr>
    <w:rPr>
      <w:rFonts w:ascii="Calibri" w:eastAsiaTheme="minorHAnsi" w:hAnsi="Calibri" w:cs="Calibri"/>
      <w:sz w:val="22"/>
      <w:szCs w:val="22"/>
      <w:lang w:val="en-US" w:eastAsia="en-US"/>
    </w:rPr>
  </w:style>
  <w:style w:type="character" w:customStyle="1" w:styleId="EndNoteBibliographyTitleCar">
    <w:name w:val="EndNote Bibliography Title Car"/>
    <w:basedOn w:val="DefaultParagraphFont"/>
    <w:link w:val="EndNoteBibliographyTitle"/>
    <w:rsid w:val="00180ED6"/>
    <w:rPr>
      <w:rFonts w:ascii="Calibri" w:hAnsi="Calibri" w:cs="Calibri"/>
      <w:lang w:val="en-US"/>
    </w:rPr>
  </w:style>
  <w:style w:type="paragraph" w:customStyle="1" w:styleId="EndNoteBibliography">
    <w:name w:val="EndNote Bibliography"/>
    <w:basedOn w:val="Normal"/>
    <w:link w:val="EndNoteBibliographyCar"/>
    <w:rsid w:val="00180ED6"/>
    <w:pPr>
      <w:spacing w:after="200"/>
    </w:pPr>
    <w:rPr>
      <w:rFonts w:ascii="Calibri" w:eastAsiaTheme="minorHAnsi" w:hAnsi="Calibri" w:cs="Calibri"/>
      <w:sz w:val="22"/>
      <w:szCs w:val="22"/>
      <w:lang w:val="en-US" w:eastAsia="en-US"/>
    </w:rPr>
  </w:style>
  <w:style w:type="character" w:customStyle="1" w:styleId="EndNoteBibliographyCar">
    <w:name w:val="EndNote Bibliography Car"/>
    <w:basedOn w:val="DefaultParagraphFont"/>
    <w:link w:val="EndNoteBibliography"/>
    <w:rsid w:val="00180ED6"/>
    <w:rPr>
      <w:rFonts w:ascii="Calibri" w:hAnsi="Calibri" w:cs="Calibri"/>
      <w:lang w:val="en-US"/>
    </w:rPr>
  </w:style>
  <w:style w:type="character" w:customStyle="1" w:styleId="Mentionnonrsolue2">
    <w:name w:val="Mention non résolue2"/>
    <w:basedOn w:val="DefaultParagraphFont"/>
    <w:uiPriority w:val="99"/>
    <w:semiHidden/>
    <w:unhideWhenUsed/>
    <w:rsid w:val="00130363"/>
    <w:rPr>
      <w:color w:val="605E5C"/>
      <w:shd w:val="clear" w:color="auto" w:fill="E1DFDD"/>
    </w:rPr>
  </w:style>
  <w:style w:type="character" w:customStyle="1" w:styleId="apple-converted-space">
    <w:name w:val="apple-converted-space"/>
    <w:basedOn w:val="DefaultParagraphFont"/>
    <w:rsid w:val="00BC120B"/>
  </w:style>
  <w:style w:type="paragraph" w:styleId="NormalWeb">
    <w:name w:val="Normal (Web)"/>
    <w:basedOn w:val="Normal"/>
    <w:uiPriority w:val="99"/>
    <w:semiHidden/>
    <w:unhideWhenUsed/>
    <w:rsid w:val="00300B0E"/>
  </w:style>
  <w:style w:type="character" w:customStyle="1" w:styleId="Heading1Char">
    <w:name w:val="Heading 1 Char"/>
    <w:basedOn w:val="DefaultParagraphFont"/>
    <w:link w:val="Heading1"/>
    <w:uiPriority w:val="9"/>
    <w:rsid w:val="00301A79"/>
    <w:rPr>
      <w:rFonts w:ascii="Times New Roman" w:eastAsia="Times New Roman" w:hAnsi="Times New Roman" w:cs="Times New Roman"/>
      <w:b/>
      <w:bCs/>
      <w:kern w:val="36"/>
      <w:sz w:val="48"/>
      <w:szCs w:val="48"/>
      <w:lang w:eastAsia="fr-FR"/>
    </w:rPr>
  </w:style>
  <w:style w:type="character" w:customStyle="1" w:styleId="UnresolvedMention">
    <w:name w:val="Unresolved Mention"/>
    <w:basedOn w:val="DefaultParagraphFont"/>
    <w:uiPriority w:val="99"/>
    <w:semiHidden/>
    <w:unhideWhenUsed/>
    <w:rsid w:val="00934D5B"/>
    <w:rPr>
      <w:color w:val="605E5C"/>
      <w:shd w:val="clear" w:color="auto" w:fill="E1DFDD"/>
    </w:rPr>
  </w:style>
  <w:style w:type="character" w:customStyle="1" w:styleId="hlfld-contribauthor">
    <w:name w:val="hlfld-contribauthor"/>
    <w:basedOn w:val="DefaultParagraphFont"/>
    <w:rsid w:val="004E1E5D"/>
  </w:style>
  <w:style w:type="character" w:customStyle="1" w:styleId="nlmsource">
    <w:name w:val="nlm_source"/>
    <w:basedOn w:val="DefaultParagraphFont"/>
    <w:rsid w:val="004E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08408">
      <w:bodyDiv w:val="1"/>
      <w:marLeft w:val="0"/>
      <w:marRight w:val="0"/>
      <w:marTop w:val="0"/>
      <w:marBottom w:val="0"/>
      <w:divBdr>
        <w:top w:val="none" w:sz="0" w:space="0" w:color="auto"/>
        <w:left w:val="none" w:sz="0" w:space="0" w:color="auto"/>
        <w:bottom w:val="none" w:sz="0" w:space="0" w:color="auto"/>
        <w:right w:val="none" w:sz="0" w:space="0" w:color="auto"/>
      </w:divBdr>
    </w:div>
    <w:div w:id="333578577">
      <w:bodyDiv w:val="1"/>
      <w:marLeft w:val="0"/>
      <w:marRight w:val="0"/>
      <w:marTop w:val="0"/>
      <w:marBottom w:val="0"/>
      <w:divBdr>
        <w:top w:val="none" w:sz="0" w:space="0" w:color="auto"/>
        <w:left w:val="none" w:sz="0" w:space="0" w:color="auto"/>
        <w:bottom w:val="none" w:sz="0" w:space="0" w:color="auto"/>
        <w:right w:val="none" w:sz="0" w:space="0" w:color="auto"/>
      </w:divBdr>
    </w:div>
    <w:div w:id="554776285">
      <w:bodyDiv w:val="1"/>
      <w:marLeft w:val="0"/>
      <w:marRight w:val="0"/>
      <w:marTop w:val="0"/>
      <w:marBottom w:val="0"/>
      <w:divBdr>
        <w:top w:val="none" w:sz="0" w:space="0" w:color="auto"/>
        <w:left w:val="none" w:sz="0" w:space="0" w:color="auto"/>
        <w:bottom w:val="none" w:sz="0" w:space="0" w:color="auto"/>
        <w:right w:val="none" w:sz="0" w:space="0" w:color="auto"/>
      </w:divBdr>
    </w:div>
    <w:div w:id="723020093">
      <w:bodyDiv w:val="1"/>
      <w:marLeft w:val="0"/>
      <w:marRight w:val="0"/>
      <w:marTop w:val="0"/>
      <w:marBottom w:val="0"/>
      <w:divBdr>
        <w:top w:val="none" w:sz="0" w:space="0" w:color="auto"/>
        <w:left w:val="none" w:sz="0" w:space="0" w:color="auto"/>
        <w:bottom w:val="none" w:sz="0" w:space="0" w:color="auto"/>
        <w:right w:val="none" w:sz="0" w:space="0" w:color="auto"/>
      </w:divBdr>
    </w:div>
    <w:div w:id="845630029">
      <w:bodyDiv w:val="1"/>
      <w:marLeft w:val="0"/>
      <w:marRight w:val="0"/>
      <w:marTop w:val="0"/>
      <w:marBottom w:val="0"/>
      <w:divBdr>
        <w:top w:val="none" w:sz="0" w:space="0" w:color="auto"/>
        <w:left w:val="none" w:sz="0" w:space="0" w:color="auto"/>
        <w:bottom w:val="none" w:sz="0" w:space="0" w:color="auto"/>
        <w:right w:val="none" w:sz="0" w:space="0" w:color="auto"/>
      </w:divBdr>
    </w:div>
    <w:div w:id="1050762151">
      <w:bodyDiv w:val="1"/>
      <w:marLeft w:val="0"/>
      <w:marRight w:val="0"/>
      <w:marTop w:val="0"/>
      <w:marBottom w:val="0"/>
      <w:divBdr>
        <w:top w:val="none" w:sz="0" w:space="0" w:color="auto"/>
        <w:left w:val="none" w:sz="0" w:space="0" w:color="auto"/>
        <w:bottom w:val="none" w:sz="0" w:space="0" w:color="auto"/>
        <w:right w:val="none" w:sz="0" w:space="0" w:color="auto"/>
      </w:divBdr>
    </w:div>
    <w:div w:id="1135486729">
      <w:bodyDiv w:val="1"/>
      <w:marLeft w:val="0"/>
      <w:marRight w:val="0"/>
      <w:marTop w:val="0"/>
      <w:marBottom w:val="0"/>
      <w:divBdr>
        <w:top w:val="none" w:sz="0" w:space="0" w:color="auto"/>
        <w:left w:val="none" w:sz="0" w:space="0" w:color="auto"/>
        <w:bottom w:val="none" w:sz="0" w:space="0" w:color="auto"/>
        <w:right w:val="none" w:sz="0" w:space="0" w:color="auto"/>
      </w:divBdr>
    </w:div>
    <w:div w:id="1208833550">
      <w:bodyDiv w:val="1"/>
      <w:marLeft w:val="0"/>
      <w:marRight w:val="0"/>
      <w:marTop w:val="0"/>
      <w:marBottom w:val="0"/>
      <w:divBdr>
        <w:top w:val="none" w:sz="0" w:space="0" w:color="auto"/>
        <w:left w:val="none" w:sz="0" w:space="0" w:color="auto"/>
        <w:bottom w:val="none" w:sz="0" w:space="0" w:color="auto"/>
        <w:right w:val="none" w:sz="0" w:space="0" w:color="auto"/>
      </w:divBdr>
    </w:div>
    <w:div w:id="1331443093">
      <w:bodyDiv w:val="1"/>
      <w:marLeft w:val="0"/>
      <w:marRight w:val="0"/>
      <w:marTop w:val="0"/>
      <w:marBottom w:val="0"/>
      <w:divBdr>
        <w:top w:val="none" w:sz="0" w:space="0" w:color="auto"/>
        <w:left w:val="none" w:sz="0" w:space="0" w:color="auto"/>
        <w:bottom w:val="none" w:sz="0" w:space="0" w:color="auto"/>
        <w:right w:val="none" w:sz="0" w:space="0" w:color="auto"/>
      </w:divBdr>
    </w:div>
    <w:div w:id="1370691063">
      <w:bodyDiv w:val="1"/>
      <w:marLeft w:val="0"/>
      <w:marRight w:val="0"/>
      <w:marTop w:val="0"/>
      <w:marBottom w:val="0"/>
      <w:divBdr>
        <w:top w:val="none" w:sz="0" w:space="0" w:color="auto"/>
        <w:left w:val="none" w:sz="0" w:space="0" w:color="auto"/>
        <w:bottom w:val="none" w:sz="0" w:space="0" w:color="auto"/>
        <w:right w:val="none" w:sz="0" w:space="0" w:color="auto"/>
      </w:divBdr>
    </w:div>
    <w:div w:id="1399133822">
      <w:bodyDiv w:val="1"/>
      <w:marLeft w:val="0"/>
      <w:marRight w:val="0"/>
      <w:marTop w:val="0"/>
      <w:marBottom w:val="0"/>
      <w:divBdr>
        <w:top w:val="none" w:sz="0" w:space="0" w:color="auto"/>
        <w:left w:val="none" w:sz="0" w:space="0" w:color="auto"/>
        <w:bottom w:val="none" w:sz="0" w:space="0" w:color="auto"/>
        <w:right w:val="none" w:sz="0" w:space="0" w:color="auto"/>
      </w:divBdr>
    </w:div>
    <w:div w:id="1413820524">
      <w:bodyDiv w:val="1"/>
      <w:marLeft w:val="0"/>
      <w:marRight w:val="0"/>
      <w:marTop w:val="0"/>
      <w:marBottom w:val="0"/>
      <w:divBdr>
        <w:top w:val="none" w:sz="0" w:space="0" w:color="auto"/>
        <w:left w:val="none" w:sz="0" w:space="0" w:color="auto"/>
        <w:bottom w:val="none" w:sz="0" w:space="0" w:color="auto"/>
        <w:right w:val="none" w:sz="0" w:space="0" w:color="auto"/>
      </w:divBdr>
    </w:div>
    <w:div w:id="1475294886">
      <w:bodyDiv w:val="1"/>
      <w:marLeft w:val="0"/>
      <w:marRight w:val="0"/>
      <w:marTop w:val="0"/>
      <w:marBottom w:val="0"/>
      <w:divBdr>
        <w:top w:val="none" w:sz="0" w:space="0" w:color="auto"/>
        <w:left w:val="none" w:sz="0" w:space="0" w:color="auto"/>
        <w:bottom w:val="none" w:sz="0" w:space="0" w:color="auto"/>
        <w:right w:val="none" w:sz="0" w:space="0" w:color="auto"/>
      </w:divBdr>
    </w:div>
    <w:div w:id="1674140474">
      <w:bodyDiv w:val="1"/>
      <w:marLeft w:val="0"/>
      <w:marRight w:val="0"/>
      <w:marTop w:val="0"/>
      <w:marBottom w:val="0"/>
      <w:divBdr>
        <w:top w:val="none" w:sz="0" w:space="0" w:color="auto"/>
        <w:left w:val="none" w:sz="0" w:space="0" w:color="auto"/>
        <w:bottom w:val="none" w:sz="0" w:space="0" w:color="auto"/>
        <w:right w:val="none" w:sz="0" w:space="0" w:color="auto"/>
      </w:divBdr>
    </w:div>
    <w:div w:id="1696811342">
      <w:bodyDiv w:val="1"/>
      <w:marLeft w:val="0"/>
      <w:marRight w:val="0"/>
      <w:marTop w:val="0"/>
      <w:marBottom w:val="0"/>
      <w:divBdr>
        <w:top w:val="none" w:sz="0" w:space="0" w:color="auto"/>
        <w:left w:val="none" w:sz="0" w:space="0" w:color="auto"/>
        <w:bottom w:val="none" w:sz="0" w:space="0" w:color="auto"/>
        <w:right w:val="none" w:sz="0" w:space="0" w:color="auto"/>
      </w:divBdr>
    </w:div>
    <w:div w:id="1777019938">
      <w:bodyDiv w:val="1"/>
      <w:marLeft w:val="0"/>
      <w:marRight w:val="0"/>
      <w:marTop w:val="0"/>
      <w:marBottom w:val="0"/>
      <w:divBdr>
        <w:top w:val="none" w:sz="0" w:space="0" w:color="auto"/>
        <w:left w:val="none" w:sz="0" w:space="0" w:color="auto"/>
        <w:bottom w:val="none" w:sz="0" w:space="0" w:color="auto"/>
        <w:right w:val="none" w:sz="0" w:space="0" w:color="auto"/>
      </w:divBdr>
      <w:divsChild>
        <w:div w:id="1137723947">
          <w:marLeft w:val="0"/>
          <w:marRight w:val="0"/>
          <w:marTop w:val="0"/>
          <w:marBottom w:val="0"/>
          <w:divBdr>
            <w:top w:val="none" w:sz="0" w:space="0" w:color="auto"/>
            <w:left w:val="none" w:sz="0" w:space="0" w:color="auto"/>
            <w:bottom w:val="none" w:sz="0" w:space="0" w:color="auto"/>
            <w:right w:val="none" w:sz="0" w:space="0" w:color="auto"/>
          </w:divBdr>
          <w:divsChild>
            <w:div w:id="1631669071">
              <w:marLeft w:val="0"/>
              <w:marRight w:val="0"/>
              <w:marTop w:val="0"/>
              <w:marBottom w:val="0"/>
              <w:divBdr>
                <w:top w:val="none" w:sz="0" w:space="0" w:color="auto"/>
                <w:left w:val="none" w:sz="0" w:space="0" w:color="auto"/>
                <w:bottom w:val="none" w:sz="0" w:space="0" w:color="auto"/>
                <w:right w:val="none" w:sz="0" w:space="0" w:color="auto"/>
              </w:divBdr>
              <w:divsChild>
                <w:div w:id="21309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6329">
      <w:bodyDiv w:val="1"/>
      <w:marLeft w:val="0"/>
      <w:marRight w:val="0"/>
      <w:marTop w:val="0"/>
      <w:marBottom w:val="0"/>
      <w:divBdr>
        <w:top w:val="none" w:sz="0" w:space="0" w:color="auto"/>
        <w:left w:val="none" w:sz="0" w:space="0" w:color="auto"/>
        <w:bottom w:val="none" w:sz="0" w:space="0" w:color="auto"/>
        <w:right w:val="none" w:sz="0" w:space="0" w:color="auto"/>
      </w:divBdr>
    </w:div>
    <w:div w:id="1838224452">
      <w:bodyDiv w:val="1"/>
      <w:marLeft w:val="0"/>
      <w:marRight w:val="0"/>
      <w:marTop w:val="0"/>
      <w:marBottom w:val="0"/>
      <w:divBdr>
        <w:top w:val="none" w:sz="0" w:space="0" w:color="auto"/>
        <w:left w:val="none" w:sz="0" w:space="0" w:color="auto"/>
        <w:bottom w:val="none" w:sz="0" w:space="0" w:color="auto"/>
        <w:right w:val="none" w:sz="0" w:space="0" w:color="auto"/>
      </w:divBdr>
    </w:div>
    <w:div w:id="1859537916">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2003241666">
      <w:bodyDiv w:val="1"/>
      <w:marLeft w:val="0"/>
      <w:marRight w:val="0"/>
      <w:marTop w:val="0"/>
      <w:marBottom w:val="0"/>
      <w:divBdr>
        <w:top w:val="none" w:sz="0" w:space="0" w:color="auto"/>
        <w:left w:val="none" w:sz="0" w:space="0" w:color="auto"/>
        <w:bottom w:val="none" w:sz="0" w:space="0" w:color="auto"/>
        <w:right w:val="none" w:sz="0" w:space="0" w:color="auto"/>
      </w:divBdr>
    </w:div>
    <w:div w:id="2030175799">
      <w:bodyDiv w:val="1"/>
      <w:marLeft w:val="0"/>
      <w:marRight w:val="0"/>
      <w:marTop w:val="0"/>
      <w:marBottom w:val="0"/>
      <w:divBdr>
        <w:top w:val="none" w:sz="0" w:space="0" w:color="auto"/>
        <w:left w:val="none" w:sz="0" w:space="0" w:color="auto"/>
        <w:bottom w:val="none" w:sz="0" w:space="0" w:color="auto"/>
        <w:right w:val="none" w:sz="0" w:space="0" w:color="auto"/>
      </w:divBdr>
      <w:divsChild>
        <w:div w:id="6797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3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21"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thery@cepam.cnrs.fr" TargetMode="External"/><Relationship Id="rId9" Type="http://schemas.openxmlformats.org/officeDocument/2006/relationships/hyperlink" Target="mailto:aureade.henry@cepam.cnrs.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C4DD-64C1-6343-8948-361FC16A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1773</Words>
  <Characters>10110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CNRS DR16</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InSHS</dc:creator>
  <cp:lastModifiedBy>Aureade Henry</cp:lastModifiedBy>
  <cp:revision>7</cp:revision>
  <cp:lastPrinted>2020-06-25T17:11:00Z</cp:lastPrinted>
  <dcterms:created xsi:type="dcterms:W3CDTF">2020-06-25T17:11:00Z</dcterms:created>
  <dcterms:modified xsi:type="dcterms:W3CDTF">2020-07-03T12:47:00Z</dcterms:modified>
</cp:coreProperties>
</file>