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D255" w14:textId="77777777" w:rsidR="007104C6" w:rsidRDefault="007104C6" w:rsidP="00401375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14:paraId="38D4D900" w14:textId="77777777" w:rsidR="007104C6" w:rsidRDefault="007104C6" w:rsidP="00401375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14:paraId="013922FB" w14:textId="735D107A" w:rsidR="004E4519" w:rsidRDefault="00B24761" w:rsidP="003F77DB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sz w:val="32"/>
          <w:szCs w:val="32"/>
        </w:rPr>
      </w:pPr>
      <w:r w:rsidRPr="00B24761">
        <w:rPr>
          <w:rFonts w:cs="Times New Roman"/>
          <w:b/>
          <w:sz w:val="32"/>
          <w:szCs w:val="32"/>
        </w:rPr>
        <w:t>L. Meignen</w:t>
      </w:r>
      <w:bookmarkStart w:id="0" w:name="_GoBack"/>
      <w:bookmarkEnd w:id="0"/>
    </w:p>
    <w:p w14:paraId="237ABEEB" w14:textId="77777777" w:rsidR="004D50B3" w:rsidRPr="00B24761" w:rsidRDefault="004D50B3" w:rsidP="003F77DB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sz w:val="32"/>
          <w:szCs w:val="32"/>
        </w:rPr>
      </w:pPr>
    </w:p>
    <w:p w14:paraId="76EDEF5F" w14:textId="735DDFBB" w:rsidR="004E4519" w:rsidRPr="007104C6" w:rsidRDefault="004E4519" w:rsidP="004E4519">
      <w:pPr>
        <w:rPr>
          <w:b/>
          <w:sz w:val="32"/>
        </w:rPr>
      </w:pPr>
      <w:r w:rsidRPr="007104C6">
        <w:rPr>
          <w:rFonts w:cs="Times New Roman"/>
          <w:b/>
          <w:sz w:val="32"/>
          <w:szCs w:val="28"/>
        </w:rPr>
        <w:t>Bibliographie </w:t>
      </w:r>
      <w:r w:rsidR="00B24761">
        <w:rPr>
          <w:rFonts w:cs="Times New Roman"/>
          <w:b/>
          <w:sz w:val="32"/>
          <w:szCs w:val="28"/>
        </w:rPr>
        <w:t>2006-2018</w:t>
      </w:r>
      <w:r w:rsidRPr="007104C6">
        <w:rPr>
          <w:rFonts w:cs="Times New Roman"/>
          <w:b/>
          <w:sz w:val="32"/>
          <w:szCs w:val="28"/>
        </w:rPr>
        <w:t>:</w:t>
      </w:r>
    </w:p>
    <w:p w14:paraId="2104F890" w14:textId="77777777" w:rsidR="004E4519" w:rsidRPr="007104C6" w:rsidRDefault="004E4519" w:rsidP="004E4519">
      <w:pPr>
        <w:rPr>
          <w:b/>
          <w:i/>
          <w:highlight w:val="yellow"/>
        </w:rPr>
      </w:pPr>
    </w:p>
    <w:p w14:paraId="56C07943" w14:textId="77777777" w:rsidR="004E4519" w:rsidRPr="007104C6" w:rsidRDefault="004E4519" w:rsidP="004E4519">
      <w:pPr>
        <w:rPr>
          <w:b/>
          <w:i/>
        </w:rPr>
      </w:pPr>
      <w:r w:rsidRPr="007104C6">
        <w:rPr>
          <w:b/>
          <w:i/>
        </w:rPr>
        <w:t xml:space="preserve">Direction d’ouvrages (edited book) </w:t>
      </w:r>
    </w:p>
    <w:p w14:paraId="425F25E3" w14:textId="66618FD7" w:rsidR="00FB0F78" w:rsidRDefault="004E72F0" w:rsidP="00FB0F78">
      <w:r>
        <w:t xml:space="preserve">- </w:t>
      </w:r>
      <w:r w:rsidR="00FB0F78">
        <w:t>Bar-Yosef, O. and</w:t>
      </w:r>
      <w:r w:rsidR="00FB0F78" w:rsidRPr="005E4A1A">
        <w:t xml:space="preserve"> </w:t>
      </w:r>
      <w:r w:rsidR="00FB0F78" w:rsidRPr="00E82E57">
        <w:rPr>
          <w:b/>
        </w:rPr>
        <w:t>L. Meignen</w:t>
      </w:r>
      <w:r w:rsidR="00FB0F78" w:rsidRPr="005E4A1A">
        <w:t xml:space="preserve">, </w:t>
      </w:r>
      <w:r w:rsidR="00FB0F78">
        <w:t>(</w:t>
      </w:r>
      <w:r w:rsidR="00FB0F78" w:rsidRPr="005E4A1A">
        <w:t>2007</w:t>
      </w:r>
      <w:r w:rsidR="00FB0F78">
        <w:t>)</w:t>
      </w:r>
      <w:r w:rsidR="00FB0F78" w:rsidRPr="005E4A1A">
        <w:t xml:space="preserve">. </w:t>
      </w:r>
      <w:r w:rsidR="00FB0F78" w:rsidRPr="005E4A1A">
        <w:rPr>
          <w:i/>
        </w:rPr>
        <w:t xml:space="preserve">Kebara Cave, Mt Carmel, Israel : The Middle and Upper Paleolithic Archaeology, Part I, </w:t>
      </w:r>
      <w:r w:rsidR="00FB0F78" w:rsidRPr="005E4A1A">
        <w:t>American School of Prehistoric Research, Peabo</w:t>
      </w:r>
      <w:r w:rsidR="00652422">
        <w:t>dy Museum, Harvard University, Cambridge, US, 288 p.</w:t>
      </w:r>
    </w:p>
    <w:p w14:paraId="57A808D8" w14:textId="6CA34785" w:rsidR="00FB0F78" w:rsidRDefault="004E72F0" w:rsidP="00FB0F78">
      <w:r>
        <w:t xml:space="preserve">- </w:t>
      </w:r>
      <w:r w:rsidR="00FB0F78" w:rsidRPr="005159A5">
        <w:t>Naudinot</w:t>
      </w:r>
      <w:r w:rsidR="00E82E57">
        <w:t>,</w:t>
      </w:r>
      <w:r w:rsidR="00FB0F78" w:rsidRPr="005159A5">
        <w:t xml:space="preserve"> N.,</w:t>
      </w:r>
      <w:r w:rsidR="005159A5" w:rsidRPr="005159A5">
        <w:t xml:space="preserve"> </w:t>
      </w:r>
      <w:r w:rsidR="005159A5" w:rsidRPr="00E82E57">
        <w:rPr>
          <w:b/>
        </w:rPr>
        <w:t>Meignen</w:t>
      </w:r>
      <w:r w:rsidR="00E82E57">
        <w:rPr>
          <w:b/>
        </w:rPr>
        <w:t>,</w:t>
      </w:r>
      <w:r w:rsidR="005159A5" w:rsidRPr="00E82E57">
        <w:rPr>
          <w:b/>
        </w:rPr>
        <w:t xml:space="preserve"> L.,</w:t>
      </w:r>
      <w:r w:rsidR="005159A5" w:rsidRPr="005159A5">
        <w:t xml:space="preserve"> Binder</w:t>
      </w:r>
      <w:r w:rsidR="00E82E57">
        <w:t>,</w:t>
      </w:r>
      <w:r w:rsidR="005159A5" w:rsidRPr="005159A5">
        <w:t xml:space="preserve"> D., Querré</w:t>
      </w:r>
      <w:r w:rsidR="00E82E57">
        <w:t>,</w:t>
      </w:r>
      <w:r w:rsidR="005159A5" w:rsidRPr="005159A5">
        <w:t xml:space="preserve"> G.</w:t>
      </w:r>
      <w:r w:rsidR="00FB0F78" w:rsidRPr="005159A5">
        <w:t xml:space="preserve"> </w:t>
      </w:r>
      <w:r w:rsidR="005159A5" w:rsidRPr="00652422">
        <w:t>(</w:t>
      </w:r>
      <w:r w:rsidR="00FB0F78" w:rsidRPr="00652422">
        <w:rPr>
          <w:bCs/>
        </w:rPr>
        <w:t>2015</w:t>
      </w:r>
      <w:r w:rsidR="005159A5" w:rsidRPr="00652422">
        <w:rPr>
          <w:bCs/>
        </w:rPr>
        <w:t>)</w:t>
      </w:r>
      <w:r w:rsidR="00FB0F78" w:rsidRPr="00652422">
        <w:t>.</w:t>
      </w:r>
      <w:r w:rsidR="00FB0F78" w:rsidRPr="005159A5">
        <w:t xml:space="preserve"> </w:t>
      </w:r>
      <w:r w:rsidR="00FB0F78" w:rsidRPr="005159A5">
        <w:rPr>
          <w:i/>
          <w:iCs/>
        </w:rPr>
        <w:t>Les systèmes de mobilité de la Préhistoire au Moyen Age</w:t>
      </w:r>
      <w:r w:rsidR="005159A5" w:rsidRPr="005159A5">
        <w:t>, Antibes, APDCA, vol. XXXV</w:t>
      </w:r>
      <w:r w:rsidR="00FB0F78" w:rsidRPr="005159A5">
        <w:t>, (</w:t>
      </w:r>
      <w:r w:rsidR="00FB0F78" w:rsidRPr="005159A5">
        <w:rPr>
          <w:i/>
          <w:iCs/>
        </w:rPr>
        <w:t>Rencontres internationales d'archéologie et d'histoire d'Antibes</w:t>
      </w:r>
      <w:r w:rsidR="00FB0F78" w:rsidRPr="005159A5">
        <w:t>), 442 p.</w:t>
      </w:r>
      <w:r w:rsidR="00FB0F78" w:rsidRPr="00AF7632">
        <w:t xml:space="preserve"> </w:t>
      </w:r>
    </w:p>
    <w:p w14:paraId="30F8EE16" w14:textId="547008F7" w:rsidR="004E4519" w:rsidRPr="007104C6" w:rsidRDefault="00652422" w:rsidP="004E4519">
      <w:r w:rsidRPr="00652422">
        <w:rPr>
          <w:noProof/>
        </w:rPr>
        <w:t xml:space="preserve">- </w:t>
      </w:r>
      <w:r w:rsidR="00FB0F78" w:rsidRPr="00E82E57">
        <w:rPr>
          <w:b/>
          <w:noProof/>
        </w:rPr>
        <w:t>Meignen</w:t>
      </w:r>
      <w:r w:rsidR="00E82E57" w:rsidRPr="00E82E57">
        <w:rPr>
          <w:b/>
          <w:noProof/>
        </w:rPr>
        <w:t>, L.</w:t>
      </w:r>
      <w:r w:rsidR="00FB0F78" w:rsidRPr="007104C6">
        <w:rPr>
          <w:noProof/>
        </w:rPr>
        <w:t xml:space="preserve"> a</w:t>
      </w:r>
      <w:r>
        <w:rPr>
          <w:noProof/>
        </w:rPr>
        <w:t xml:space="preserve">nd O. Bar-Yosef </w:t>
      </w:r>
      <w:r w:rsidR="00FB0F78">
        <w:rPr>
          <w:noProof/>
        </w:rPr>
        <w:t>(sous presse).</w:t>
      </w:r>
      <w:r w:rsidR="00FB0F78">
        <w:t xml:space="preserve"> </w:t>
      </w:r>
      <w:r w:rsidR="004E4519" w:rsidRPr="007104C6">
        <w:rPr>
          <w:i/>
          <w:noProof/>
        </w:rPr>
        <w:t>Kebara Cave, Mt. Carmel, Israel- The Middle and Upper Paleolithic Archaeology, Part II,</w:t>
      </w:r>
      <w:r>
        <w:rPr>
          <w:noProof/>
        </w:rPr>
        <w:t xml:space="preserve"> </w:t>
      </w:r>
      <w:r w:rsidR="004E4519" w:rsidRPr="007104C6">
        <w:rPr>
          <w:noProof/>
        </w:rPr>
        <w:t>, American School of Prehistoric Research, Peabody Museum Press,</w:t>
      </w:r>
      <w:r>
        <w:rPr>
          <w:noProof/>
        </w:rPr>
        <w:t xml:space="preserve"> Harvard University, Cambridge, US</w:t>
      </w:r>
      <w:r w:rsidR="004E4519" w:rsidRPr="007104C6">
        <w:rPr>
          <w:noProof/>
        </w:rPr>
        <w:t>.</w:t>
      </w:r>
    </w:p>
    <w:p w14:paraId="1F9D6F7D" w14:textId="77777777" w:rsidR="004E4519" w:rsidRPr="007104C6" w:rsidRDefault="004E4519" w:rsidP="004E4519">
      <w:pPr>
        <w:rPr>
          <w:b/>
          <w:i/>
        </w:rPr>
      </w:pPr>
    </w:p>
    <w:p w14:paraId="75CAD211" w14:textId="77777777" w:rsidR="004E4519" w:rsidRPr="007104C6" w:rsidRDefault="004E4519" w:rsidP="004E4519">
      <w:pPr>
        <w:rPr>
          <w:i/>
        </w:rPr>
      </w:pPr>
      <w:r w:rsidRPr="007104C6">
        <w:rPr>
          <w:b/>
          <w:i/>
        </w:rPr>
        <w:t>Revues internationales comité lecture</w:t>
      </w:r>
      <w:r w:rsidRPr="007104C6">
        <w:rPr>
          <w:i/>
        </w:rPr>
        <w:t xml:space="preserve"> (</w:t>
      </w:r>
      <w:r w:rsidRPr="007104C6">
        <w:rPr>
          <w:b/>
          <w:i/>
        </w:rPr>
        <w:t>ACL</w:t>
      </w:r>
      <w:r w:rsidRPr="007104C6">
        <w:rPr>
          <w:i/>
        </w:rPr>
        <w:t>)</w:t>
      </w:r>
    </w:p>
    <w:p w14:paraId="0CE567A7" w14:textId="071CB0F5" w:rsidR="005159A5" w:rsidRPr="005E4A1A" w:rsidRDefault="00652422" w:rsidP="00652422">
      <w:r>
        <w:t xml:space="preserve">- </w:t>
      </w:r>
      <w:r w:rsidR="005159A5" w:rsidRPr="005E4A1A">
        <w:t xml:space="preserve">Costamagno, S., </w:t>
      </w:r>
      <w:r w:rsidR="005159A5" w:rsidRPr="00E82E57">
        <w:rPr>
          <w:b/>
        </w:rPr>
        <w:t>L. Meignen,</w:t>
      </w:r>
      <w:r w:rsidR="005159A5" w:rsidRPr="005E4A1A">
        <w:t xml:space="preserve"> C. Beauval, B. Vandermeersch &amp; B. Maureille, </w:t>
      </w:r>
      <w:r>
        <w:t>(</w:t>
      </w:r>
      <w:r w:rsidR="005159A5" w:rsidRPr="005E4A1A">
        <w:t>2006</w:t>
      </w:r>
      <w:r>
        <w:t>)</w:t>
      </w:r>
      <w:r w:rsidR="005159A5" w:rsidRPr="005E4A1A">
        <w:t xml:space="preserve">. Les Pradelles (Marillac-le-Franc, France): a Mousterian reindeer  hunting camp ? </w:t>
      </w:r>
      <w:r w:rsidR="005159A5" w:rsidRPr="005E4A1A">
        <w:rPr>
          <w:i/>
        </w:rPr>
        <w:t>Journal of Anthropological Archaeology,</w:t>
      </w:r>
      <w:r w:rsidR="005159A5" w:rsidRPr="005E4A1A">
        <w:t xml:space="preserve"> 25, 466-84.</w:t>
      </w:r>
    </w:p>
    <w:p w14:paraId="7D590A5F" w14:textId="33443208" w:rsidR="005159A5" w:rsidRDefault="00E82E57" w:rsidP="00652422">
      <w:pPr>
        <w:pStyle w:val="Textebrut"/>
        <w:ind w:right="459"/>
        <w:jc w:val="both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r w:rsidR="005159A5" w:rsidRPr="00E82E57">
        <w:rPr>
          <w:rFonts w:asciiTheme="minorHAnsi" w:hAnsiTheme="minorHAnsi"/>
          <w:b/>
          <w:sz w:val="24"/>
        </w:rPr>
        <w:t>Meignen</w:t>
      </w:r>
      <w:r w:rsidRPr="00E82E57">
        <w:rPr>
          <w:rFonts w:asciiTheme="minorHAnsi" w:hAnsiTheme="minorHAnsi"/>
          <w:b/>
          <w:sz w:val="24"/>
        </w:rPr>
        <w:t xml:space="preserve">, </w:t>
      </w:r>
      <w:r w:rsidR="005159A5" w:rsidRPr="00E82E57">
        <w:rPr>
          <w:rFonts w:asciiTheme="minorHAnsi" w:hAnsiTheme="minorHAnsi"/>
          <w:b/>
          <w:sz w:val="24"/>
        </w:rPr>
        <w:t>L.</w:t>
      </w:r>
      <w:r w:rsidR="005159A5" w:rsidRPr="00652422">
        <w:rPr>
          <w:rFonts w:asciiTheme="minorHAnsi" w:hAnsiTheme="minorHAnsi"/>
          <w:sz w:val="24"/>
        </w:rPr>
        <w:t xml:space="preserve">, </w:t>
      </w:r>
      <w:r w:rsidR="00652422" w:rsidRPr="00652422">
        <w:rPr>
          <w:rFonts w:asciiTheme="minorHAnsi" w:hAnsiTheme="minorHAnsi"/>
          <w:sz w:val="24"/>
        </w:rPr>
        <w:t>(</w:t>
      </w:r>
      <w:r w:rsidR="005159A5" w:rsidRPr="00652422">
        <w:rPr>
          <w:rFonts w:asciiTheme="minorHAnsi" w:hAnsiTheme="minorHAnsi"/>
          <w:sz w:val="24"/>
        </w:rPr>
        <w:t>2006</w:t>
      </w:r>
      <w:r w:rsidR="00652422" w:rsidRPr="00652422">
        <w:rPr>
          <w:rFonts w:asciiTheme="minorHAnsi" w:hAnsiTheme="minorHAnsi"/>
          <w:sz w:val="24"/>
        </w:rPr>
        <w:t>).</w:t>
      </w:r>
      <w:r w:rsidR="005159A5" w:rsidRPr="00652422">
        <w:rPr>
          <w:rFonts w:asciiTheme="minorHAnsi" w:hAnsiTheme="minorHAnsi"/>
          <w:sz w:val="24"/>
        </w:rPr>
        <w:t xml:space="preserve">   From the Late Middle Paleolithic to the Early Upper Paleolithic, between the Adriatic and the Caspian sea : continuity or discontinuity ? An introduction. </w:t>
      </w:r>
      <w:r w:rsidR="005159A5" w:rsidRPr="00652422">
        <w:rPr>
          <w:rFonts w:asciiTheme="minorHAnsi" w:hAnsiTheme="minorHAnsi"/>
          <w:i/>
          <w:sz w:val="24"/>
        </w:rPr>
        <w:t>Anthropologie</w:t>
      </w:r>
      <w:r w:rsidR="005159A5" w:rsidRPr="00652422">
        <w:rPr>
          <w:rFonts w:asciiTheme="minorHAnsi" w:hAnsiTheme="minorHAnsi"/>
          <w:sz w:val="24"/>
        </w:rPr>
        <w:t xml:space="preserve"> XLIV/1,1-7.</w:t>
      </w:r>
    </w:p>
    <w:p w14:paraId="4B760CF5" w14:textId="77777777" w:rsidR="00652422" w:rsidRDefault="00652422" w:rsidP="00652422">
      <w:pPr>
        <w:pStyle w:val="Textebrut"/>
        <w:ind w:right="459"/>
        <w:jc w:val="both"/>
        <w:rPr>
          <w:rFonts w:asciiTheme="minorHAnsi" w:hAnsiTheme="minorHAnsi"/>
          <w:sz w:val="24"/>
        </w:rPr>
      </w:pPr>
    </w:p>
    <w:p w14:paraId="3302C1AB" w14:textId="6864FE64" w:rsidR="00652422" w:rsidRPr="005E4A1A" w:rsidRDefault="00652422" w:rsidP="00652422">
      <w:r>
        <w:t xml:space="preserve">- </w:t>
      </w:r>
      <w:r w:rsidRPr="00E82E57">
        <w:rPr>
          <w:b/>
        </w:rPr>
        <w:t>Meignen, L.</w:t>
      </w:r>
      <w:r w:rsidR="00E82E57">
        <w:t xml:space="preserve"> and</w:t>
      </w:r>
      <w:r w:rsidRPr="005E4A1A">
        <w:t xml:space="preserve"> N. Tushabramishvili, </w:t>
      </w:r>
      <w:r>
        <w:t>(</w:t>
      </w:r>
      <w:r w:rsidRPr="005E4A1A">
        <w:t>2007</w:t>
      </w:r>
      <w:r>
        <w:t>)</w:t>
      </w:r>
      <w:r w:rsidRPr="005E4A1A">
        <w:t xml:space="preserve">. Paléolithique moyen Laminaire sur les flancs Sud du Caucase : productions lithiques et fonctionnement du site de Djruchula (Géorgie). </w:t>
      </w:r>
      <w:r w:rsidRPr="005E4A1A">
        <w:rPr>
          <w:i/>
        </w:rPr>
        <w:t>Paléorient,</w:t>
      </w:r>
      <w:r w:rsidRPr="005E4A1A">
        <w:t xml:space="preserve"> 32/2, 81-104.</w:t>
      </w:r>
    </w:p>
    <w:p w14:paraId="7B37DA21" w14:textId="098575DB" w:rsidR="005159A5" w:rsidRPr="005E4A1A" w:rsidRDefault="00652422" w:rsidP="00652422">
      <w:r>
        <w:rPr>
          <w:rFonts w:eastAsia="Times New Roman" w:cs="Times New Roman"/>
          <w:szCs w:val="20"/>
          <w:lang w:val="en-US" w:eastAsia="fr-FR"/>
        </w:rPr>
        <w:t xml:space="preserve">- </w:t>
      </w:r>
      <w:r w:rsidR="005159A5" w:rsidRPr="005E4A1A">
        <w:t xml:space="preserve">Mercier, N., H. Valladas, L. Froget, J. L. Joron, J. L. Reyss, S. Weiner, P. Goldberg, L. </w:t>
      </w:r>
      <w:r w:rsidR="005159A5" w:rsidRPr="00802085">
        <w:rPr>
          <w:b/>
        </w:rPr>
        <w:t>Meignen,</w:t>
      </w:r>
      <w:r w:rsidR="005159A5" w:rsidRPr="005E4A1A">
        <w:t xml:space="preserve"> O. Bar-Yosef, S. Kuhn, M. Stiner, A. Belfer-Cohen, A. M. Tillier, B. Arensburg &amp; B. Vandermeersch, </w:t>
      </w:r>
      <w:r w:rsidR="00AE5A0F">
        <w:t>(</w:t>
      </w:r>
      <w:r w:rsidR="005159A5" w:rsidRPr="005E4A1A">
        <w:t>2007</w:t>
      </w:r>
      <w:r w:rsidR="00AE5A0F">
        <w:t>)</w:t>
      </w:r>
      <w:r w:rsidR="005159A5" w:rsidRPr="005E4A1A">
        <w:t xml:space="preserve">. Hayonim Cave: a TL-based chronology of a Levantine Mousterian sequence. </w:t>
      </w:r>
      <w:r w:rsidR="005159A5" w:rsidRPr="005E4A1A">
        <w:rPr>
          <w:i/>
        </w:rPr>
        <w:t>Journal of Archeological Science,</w:t>
      </w:r>
      <w:r w:rsidR="005159A5" w:rsidRPr="005E4A1A">
        <w:t xml:space="preserve"> 34/7, 1064-77.</w:t>
      </w:r>
    </w:p>
    <w:p w14:paraId="5E1035CC" w14:textId="6006F9E5" w:rsidR="005159A5" w:rsidRPr="00AE5A0F" w:rsidRDefault="00AE5A0F" w:rsidP="00652422">
      <w:pPr>
        <w:pStyle w:val="Titre1"/>
        <w:ind w:left="0" w:firstLine="0"/>
        <w:rPr>
          <w:rFonts w:asciiTheme="minorHAnsi" w:hAnsiTheme="minorHAnsi"/>
          <w:b w:val="0"/>
          <w:i/>
          <w:sz w:val="24"/>
          <w:szCs w:val="24"/>
        </w:rPr>
      </w:pPr>
      <w:r>
        <w:rPr>
          <w:b w:val="0"/>
          <w:sz w:val="24"/>
          <w:lang w:val="en-US"/>
        </w:rPr>
        <w:t xml:space="preserve">- </w:t>
      </w:r>
      <w:r w:rsidR="005159A5" w:rsidRPr="00AE5A0F">
        <w:rPr>
          <w:rFonts w:asciiTheme="minorHAnsi" w:hAnsiTheme="minorHAnsi"/>
          <w:b w:val="0"/>
          <w:sz w:val="24"/>
          <w:szCs w:val="24"/>
        </w:rPr>
        <w:t xml:space="preserve">Rebollo N.R., Cohen-Ofri I., Popowitz-Biro R., Bar-Yosef O., </w:t>
      </w:r>
      <w:r w:rsidR="005159A5" w:rsidRPr="00802085">
        <w:rPr>
          <w:rFonts w:asciiTheme="minorHAnsi" w:hAnsiTheme="minorHAnsi"/>
          <w:sz w:val="24"/>
          <w:szCs w:val="24"/>
        </w:rPr>
        <w:t>Meignen L.,</w:t>
      </w:r>
      <w:r w:rsidR="005159A5" w:rsidRPr="00AE5A0F">
        <w:rPr>
          <w:rFonts w:asciiTheme="minorHAnsi" w:hAnsiTheme="minorHAnsi"/>
          <w:b w:val="0"/>
          <w:sz w:val="24"/>
          <w:szCs w:val="24"/>
        </w:rPr>
        <w:t xml:space="preserve"> Goldberg P., Weiner S., Boaretto E. (2008) Structural characterization of charcoal exposed to high and low Ph : implications for C14 sample preparation and charcoal preservation</w:t>
      </w:r>
    </w:p>
    <w:p w14:paraId="2EECC993" w14:textId="0227A0EF" w:rsidR="005159A5" w:rsidRPr="00AE5A0F" w:rsidRDefault="00AE5A0F" w:rsidP="00652422">
      <w:r>
        <w:t xml:space="preserve"> </w:t>
      </w:r>
      <w:r w:rsidR="005159A5" w:rsidRPr="00AE5A0F">
        <w:rPr>
          <w:i/>
        </w:rPr>
        <w:t>Radiocarbon</w:t>
      </w:r>
      <w:r w:rsidR="005159A5" w:rsidRPr="00AE5A0F">
        <w:t>, 50(2), 289-307.</w:t>
      </w:r>
    </w:p>
    <w:p w14:paraId="4CFDC68C" w14:textId="77777777" w:rsidR="005159A5" w:rsidRPr="00AE5A0F" w:rsidRDefault="005159A5" w:rsidP="00652422"/>
    <w:p w14:paraId="3EB6C0E7" w14:textId="06ADADE5" w:rsidR="005159A5" w:rsidRPr="005E4A1A" w:rsidRDefault="00AE5A0F" w:rsidP="00652422">
      <w:r>
        <w:lastRenderedPageBreak/>
        <w:t xml:space="preserve">- </w:t>
      </w:r>
      <w:r w:rsidR="005159A5" w:rsidRPr="005E4A1A">
        <w:t xml:space="preserve">Thiébaut C., </w:t>
      </w:r>
      <w:r w:rsidR="005159A5" w:rsidRPr="00802085">
        <w:rPr>
          <w:b/>
        </w:rPr>
        <w:t>L. Meignen</w:t>
      </w:r>
      <w:r w:rsidR="005159A5" w:rsidRPr="005E4A1A">
        <w:t xml:space="preserve">, F. Lévêque (2009)  Les dernières occupations moustériennes de Saint-Césaire : diversité des techniques et comportements économiques (Charente-Maritime, France). </w:t>
      </w:r>
      <w:r w:rsidR="005159A5" w:rsidRPr="005E4A1A">
        <w:rPr>
          <w:i/>
        </w:rPr>
        <w:t>Bulletin de la Société Préhistorique Française,</w:t>
      </w:r>
      <w:r w:rsidR="005159A5" w:rsidRPr="005E4A1A">
        <w:t xml:space="preserve"> t.106, n°4, p.691-714</w:t>
      </w:r>
    </w:p>
    <w:p w14:paraId="00E9D735" w14:textId="45559145" w:rsidR="004E4519" w:rsidRPr="007104C6" w:rsidRDefault="00AE5A0F" w:rsidP="00652422">
      <w:r>
        <w:t>-</w:t>
      </w:r>
      <w:r w:rsidR="004E4519" w:rsidRPr="007104C6" w:rsidDel="009800B9">
        <w:t xml:space="preserve">Bourguignon L., </w:t>
      </w:r>
      <w:r w:rsidR="004E4519" w:rsidRPr="007104C6" w:rsidDel="009800B9">
        <w:rPr>
          <w:b/>
        </w:rPr>
        <w:t>Meignen L</w:t>
      </w:r>
      <w:r w:rsidR="004E4519" w:rsidRPr="007104C6" w:rsidDel="009800B9">
        <w:t>. (</w:t>
      </w:r>
      <w:r w:rsidR="004E4519" w:rsidRPr="007104C6">
        <w:t>2010</w:t>
      </w:r>
      <w:r w:rsidR="004E4519" w:rsidRPr="007104C6" w:rsidDel="009800B9">
        <w:t>).</w:t>
      </w:r>
      <w:r w:rsidR="004E4519" w:rsidRPr="007104C6">
        <w:t xml:space="preserve"> Ioton (Gard) 30 ans après : nouvelles considérations technologiques et techno-économiques sur l’industrie moustérienne. </w:t>
      </w:r>
      <w:r w:rsidR="004E4519" w:rsidRPr="00802085">
        <w:rPr>
          <w:i/>
        </w:rPr>
        <w:t>Bulletin de la Société Préhistorique Française</w:t>
      </w:r>
      <w:r w:rsidR="004E4519" w:rsidRPr="007104C6">
        <w:t>, t.107, n°3, p. 433-452</w:t>
      </w:r>
    </w:p>
    <w:p w14:paraId="25F1B7A4" w14:textId="2CF56D1B" w:rsidR="004E4519" w:rsidRDefault="004E4519" w:rsidP="004E4519">
      <w:r w:rsidRPr="007104C6">
        <w:rPr>
          <w:b/>
        </w:rPr>
        <w:t>Meignen, L.,</w:t>
      </w:r>
      <w:r w:rsidRPr="007104C6">
        <w:t xml:space="preserve"> O. Bar-Yosef, M. Stiner, S. Kuhn, P. Goldberg &amp; S. Weiner, (2010). Apport des analyses minéralogiques (en spectrométrie infra-rouge Transformation de Fourier) à l’interprétation des structures anthropiques : les concentrations osseuses dans les niveaux moustériens des grottes de Kébara et Hayonim (Israël), in </w:t>
      </w:r>
      <w:r w:rsidRPr="00AE5A0F">
        <w:t>Mise en commun des approches en taphonomie/ Sharing taphonomic approaches,</w:t>
      </w:r>
      <w:r w:rsidRPr="007104C6">
        <w:t xml:space="preserve"> eds. M. P. Coumont, C. Thiebaut &amp; A. Averbough, </w:t>
      </w:r>
      <w:r w:rsidRPr="00AE5A0F">
        <w:rPr>
          <w:i/>
        </w:rPr>
        <w:t>Paléo,</w:t>
      </w:r>
      <w:r w:rsidR="00AE5A0F">
        <w:t xml:space="preserve"> supplément n°3, déc. 2010, p</w:t>
      </w:r>
      <w:r w:rsidRPr="007104C6">
        <w:t>.93-108.</w:t>
      </w:r>
    </w:p>
    <w:p w14:paraId="451EC893" w14:textId="435B7903" w:rsidR="004E4519" w:rsidRPr="007104C6" w:rsidRDefault="00AE5A0F" w:rsidP="004E4519">
      <w:pPr>
        <w:rPr>
          <w:b/>
          <w:bCs/>
        </w:rPr>
      </w:pPr>
      <w:r>
        <w:t xml:space="preserve">- </w:t>
      </w:r>
      <w:r w:rsidR="004E4519" w:rsidRPr="007104C6">
        <w:rPr>
          <w:rStyle w:val="lev"/>
          <w:b w:val="0"/>
        </w:rPr>
        <w:t xml:space="preserve">Rebollo, N.R., S. Weiner, F. Brock, </w:t>
      </w:r>
      <w:r w:rsidR="004E4519" w:rsidRPr="007104C6">
        <w:rPr>
          <w:rStyle w:val="lev"/>
        </w:rPr>
        <w:t>L. Meignen</w:t>
      </w:r>
      <w:r w:rsidR="004E4519" w:rsidRPr="007104C6">
        <w:rPr>
          <w:rStyle w:val="lev"/>
          <w:b w:val="0"/>
        </w:rPr>
        <w:t xml:space="preserve">, P. Goldberg, A. Belfer-Cohen, O. Bar-Yosef and E. Boaretto (2011)  </w:t>
      </w:r>
      <w:r w:rsidR="004E4519" w:rsidRPr="007104C6">
        <w:t xml:space="preserve">New radiocarbon dating of the transition from the Middle to the Upper Paleolithic in Kebara Cave, Israel. </w:t>
      </w:r>
      <w:r w:rsidR="004E4519" w:rsidRPr="007104C6">
        <w:rPr>
          <w:rFonts w:eastAsia="ＭＳ 明朝"/>
          <w:i/>
        </w:rPr>
        <w:t>Journal of Archaeological Science</w:t>
      </w:r>
      <w:r w:rsidR="004E4519" w:rsidRPr="007104C6">
        <w:rPr>
          <w:rFonts w:eastAsia="ＭＳ 明朝"/>
        </w:rPr>
        <w:t xml:space="preserve"> 38 :  2424-2433</w:t>
      </w:r>
    </w:p>
    <w:p w14:paraId="49018502" w14:textId="273E3C16" w:rsidR="004E4519" w:rsidRPr="007104C6" w:rsidRDefault="004E4519" w:rsidP="004E4519">
      <w:r w:rsidRPr="007104C6">
        <w:t xml:space="preserve">-Mercier, N.,  H. Valladas, </w:t>
      </w:r>
      <w:r w:rsidRPr="007104C6">
        <w:rPr>
          <w:b/>
        </w:rPr>
        <w:t>L. Meignen</w:t>
      </w:r>
      <w:r w:rsidRPr="007104C6">
        <w:t xml:space="preserve">, J-L. Joron N. Tushabramishvili, D. S. Adler, O. Bar-Yosef (2011).- Dating the Early Middle Palaeolithic Laminar Industry from Djruchula Cave, Republic of Georgia. </w:t>
      </w:r>
      <w:r w:rsidRPr="007104C6">
        <w:rPr>
          <w:i/>
        </w:rPr>
        <w:t xml:space="preserve">Paléorient </w:t>
      </w:r>
      <w:r w:rsidRPr="007104C6">
        <w:t>36-2 : 163-173.</w:t>
      </w:r>
    </w:p>
    <w:p w14:paraId="0F1525AB" w14:textId="366D4539" w:rsidR="004E4519" w:rsidRDefault="004E4519" w:rsidP="004E4519">
      <w:r w:rsidRPr="007104C6">
        <w:t xml:space="preserve">-Rendu W., Costamagno S., </w:t>
      </w:r>
      <w:r w:rsidRPr="007104C6">
        <w:rPr>
          <w:b/>
        </w:rPr>
        <w:t>Meignen L</w:t>
      </w:r>
      <w:r w:rsidRPr="007104C6">
        <w:t xml:space="preserve">., Soulier M.-C. .- (2011) Monospecific faunal spectra in Mousterian context: implications for social behavior. </w:t>
      </w:r>
      <w:r w:rsidRPr="007104C6">
        <w:rPr>
          <w:i/>
        </w:rPr>
        <w:t>Quaternary International</w:t>
      </w:r>
      <w:r w:rsidRPr="007104C6">
        <w:t>, special issue " The Neanderthal Home : Spatial and Social Behaviors", 247 : 50-58</w:t>
      </w:r>
    </w:p>
    <w:p w14:paraId="3535BFCC" w14:textId="54603C78" w:rsidR="00221E09" w:rsidRDefault="00AE5A0F" w:rsidP="00221E09">
      <w:pPr>
        <w:pStyle w:val="refbiblio"/>
        <w:rPr>
          <w:rFonts w:asciiTheme="minorHAnsi" w:hAnsiTheme="minorHAnsi"/>
        </w:rPr>
      </w:pPr>
      <w:r w:rsidRPr="00AE5A0F">
        <w:rPr>
          <w:rFonts w:asciiTheme="minorHAnsi" w:hAnsiTheme="minorHAnsi"/>
        </w:rPr>
        <w:t xml:space="preserve">- </w:t>
      </w:r>
      <w:r w:rsidR="00221E09" w:rsidRPr="00AE5A0F">
        <w:rPr>
          <w:rFonts w:asciiTheme="minorHAnsi" w:hAnsiTheme="minorHAnsi"/>
        </w:rPr>
        <w:t xml:space="preserve">Burke A.; </w:t>
      </w:r>
      <w:r w:rsidR="00221E09" w:rsidRPr="00AE5A0F">
        <w:rPr>
          <w:rFonts w:asciiTheme="minorHAnsi" w:hAnsiTheme="minorHAnsi"/>
          <w:b/>
        </w:rPr>
        <w:t>Meignen</w:t>
      </w:r>
      <w:r w:rsidRPr="00AE5A0F">
        <w:rPr>
          <w:rFonts w:asciiTheme="minorHAnsi" w:hAnsiTheme="minorHAnsi"/>
          <w:b/>
        </w:rPr>
        <w:t xml:space="preserve"> L.,</w:t>
      </w:r>
      <w:r>
        <w:rPr>
          <w:rFonts w:asciiTheme="minorHAnsi" w:hAnsiTheme="minorHAnsi"/>
        </w:rPr>
        <w:t xml:space="preserve"> Bisson M., Pimentel N., Henriques V., Andrade C., Freitas M.C., Kageyama M., Fletcher W., Parslow C., </w:t>
      </w:r>
      <w:r w:rsidR="00221E09" w:rsidRPr="00AE5A0F">
        <w:rPr>
          <w:rFonts w:asciiTheme="minorHAnsi" w:hAnsiTheme="minorHAnsi"/>
        </w:rPr>
        <w:t xml:space="preserve">Guiducci D., </w:t>
      </w:r>
      <w:r w:rsidRPr="00AE5A0F">
        <w:rPr>
          <w:rFonts w:asciiTheme="minorHAnsi" w:hAnsiTheme="minorHAnsi"/>
        </w:rPr>
        <w:t>(</w:t>
      </w:r>
      <w:r w:rsidR="00221E09" w:rsidRPr="00AE5A0F">
        <w:rPr>
          <w:rFonts w:asciiTheme="minorHAnsi" w:hAnsiTheme="minorHAnsi"/>
          <w:bCs/>
        </w:rPr>
        <w:t>2011</w:t>
      </w:r>
      <w:r w:rsidRPr="00AE5A0F">
        <w:rPr>
          <w:rFonts w:asciiTheme="minorHAnsi" w:hAnsiTheme="minorHAnsi"/>
          <w:bCs/>
        </w:rPr>
        <w:t>)</w:t>
      </w:r>
      <w:r w:rsidR="00221E09" w:rsidRPr="00AE5A0F">
        <w:rPr>
          <w:rFonts w:asciiTheme="minorHAnsi" w:hAnsiTheme="minorHAnsi"/>
        </w:rPr>
        <w:t xml:space="preserve">. </w:t>
      </w:r>
      <w:r w:rsidR="00221E09" w:rsidRPr="00AE5A0F">
        <w:rPr>
          <w:rFonts w:asciiTheme="minorHAnsi" w:hAnsiTheme="minorHAnsi"/>
          <w:lang w:val="en-US"/>
        </w:rPr>
        <w:t xml:space="preserve">The Palaeolithic occupation of southern Alentejo: the Sado River Drainage Survey. </w:t>
      </w:r>
      <w:r w:rsidR="00221E09" w:rsidRPr="00AE5A0F">
        <w:rPr>
          <w:rFonts w:asciiTheme="minorHAnsi" w:hAnsiTheme="minorHAnsi"/>
          <w:i/>
          <w:iCs/>
        </w:rPr>
        <w:t>Trabajos de Prehistoria</w:t>
      </w:r>
      <w:r>
        <w:rPr>
          <w:rFonts w:asciiTheme="minorHAnsi" w:hAnsiTheme="minorHAnsi"/>
        </w:rPr>
        <w:t xml:space="preserve">, 68 (1), 25-49. </w:t>
      </w:r>
    </w:p>
    <w:p w14:paraId="45A14012" w14:textId="38306238" w:rsidR="00802085" w:rsidRPr="00AF7632" w:rsidRDefault="00802085" w:rsidP="00802085">
      <w:r w:rsidRPr="007104C6">
        <w:t xml:space="preserve">-Speth J., </w:t>
      </w:r>
      <w:r w:rsidRPr="007104C6">
        <w:rPr>
          <w:b/>
        </w:rPr>
        <w:t>Meignen L</w:t>
      </w:r>
      <w:r w:rsidRPr="007104C6">
        <w:t>., Ba</w:t>
      </w:r>
      <w:r>
        <w:t>r-Yosef, O., Goldberg P. - (2012</w:t>
      </w:r>
      <w:r w:rsidRPr="007104C6">
        <w:t xml:space="preserve">) The Spatial organization of Middle Paleolithic Occupation X in Kebara Cave (Israel): The Concentrations of Animal Bones. </w:t>
      </w:r>
      <w:r w:rsidRPr="007104C6">
        <w:rPr>
          <w:i/>
        </w:rPr>
        <w:t>Quaternary International</w:t>
      </w:r>
      <w:r w:rsidRPr="007104C6">
        <w:t>, special issue " The Neanderthal Home : Spatial and Social Behaviors", 247 : 85-102</w:t>
      </w:r>
      <w:r>
        <w:t xml:space="preserve">, </w:t>
      </w:r>
      <w:r w:rsidRPr="00AE5A0F">
        <w:t xml:space="preserve"> </w:t>
      </w:r>
      <w:r w:rsidRPr="00AE5A0F">
        <w:rPr>
          <w:lang w:val="en-US"/>
        </w:rPr>
        <w:t>10.1016/j.quaint.2011.03.001.</w:t>
      </w:r>
    </w:p>
    <w:p w14:paraId="3952DB4D" w14:textId="3FFBD4B4" w:rsidR="004E4519" w:rsidRDefault="004E4519" w:rsidP="004E4519">
      <w:r w:rsidRPr="007104C6">
        <w:t>-</w:t>
      </w:r>
      <w:r w:rsidR="00AE5A0F">
        <w:t xml:space="preserve"> </w:t>
      </w:r>
      <w:r w:rsidRPr="007104C6">
        <w:t xml:space="preserve">Cochard D., Brugal J.P., Morin E., </w:t>
      </w:r>
      <w:r w:rsidRPr="007104C6">
        <w:rPr>
          <w:b/>
        </w:rPr>
        <w:t>Meignen L</w:t>
      </w:r>
      <w:r w:rsidRPr="007104C6">
        <w:t xml:space="preserve">. – (2012) Evidence of small fast game exploitation in the Middle Paleolithic of Les Canalettes (Aveyron, France) </w:t>
      </w:r>
      <w:r w:rsidRPr="007104C6">
        <w:rPr>
          <w:i/>
        </w:rPr>
        <w:t>Quaternary International</w:t>
      </w:r>
      <w:r w:rsidRPr="007104C6">
        <w:t>, 264, 32-51</w:t>
      </w:r>
      <w:r w:rsidR="000C1EAC">
        <w:t xml:space="preserve">, </w:t>
      </w:r>
      <w:r w:rsidR="000C1EAC" w:rsidRPr="00AE5A0F">
        <w:rPr>
          <w:lang w:val="en-US"/>
        </w:rPr>
        <w:t>QUATINT-D-11-00290R1.</w:t>
      </w:r>
    </w:p>
    <w:p w14:paraId="3B7C7E25" w14:textId="3BD4366B" w:rsidR="000C1EAC" w:rsidRPr="00AF7632" w:rsidRDefault="00E82E57" w:rsidP="000C1EAC">
      <w:pPr>
        <w:pStyle w:val="refbibli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="00AE5A0F" w:rsidRPr="00E82E57">
        <w:rPr>
          <w:rFonts w:asciiTheme="minorHAnsi" w:hAnsiTheme="minorHAnsi"/>
          <w:b/>
          <w:lang w:val="en-US"/>
        </w:rPr>
        <w:t>Meignen,L.</w:t>
      </w:r>
      <w:r w:rsidR="000C1EAC" w:rsidRPr="00E82E57">
        <w:rPr>
          <w:rFonts w:asciiTheme="minorHAnsi" w:hAnsiTheme="minorHAnsi"/>
          <w:lang w:val="en-US"/>
        </w:rPr>
        <w:t xml:space="preserve"> </w:t>
      </w:r>
      <w:r w:rsidRPr="00E82E57">
        <w:rPr>
          <w:rFonts w:asciiTheme="minorHAnsi" w:hAnsiTheme="minorHAnsi"/>
          <w:lang w:val="en-US"/>
        </w:rPr>
        <w:t>(</w:t>
      </w:r>
      <w:r w:rsidR="000C1EAC" w:rsidRPr="00E82E57">
        <w:rPr>
          <w:rFonts w:asciiTheme="minorHAnsi" w:hAnsiTheme="minorHAnsi"/>
          <w:bCs/>
          <w:lang w:val="en-US"/>
        </w:rPr>
        <w:t>2012</w:t>
      </w:r>
      <w:r w:rsidRPr="00E82E57">
        <w:rPr>
          <w:rFonts w:asciiTheme="minorHAnsi" w:hAnsiTheme="minorHAnsi"/>
          <w:bCs/>
          <w:lang w:val="en-US"/>
        </w:rPr>
        <w:t>)</w:t>
      </w:r>
      <w:r w:rsidR="000C1EAC" w:rsidRPr="00E82E57">
        <w:rPr>
          <w:rFonts w:asciiTheme="minorHAnsi" w:hAnsiTheme="minorHAnsi"/>
          <w:lang w:val="en-US"/>
        </w:rPr>
        <w:t xml:space="preserve">. The Levantine perspectives on the Middle to Upper Paleolithic "Transition". </w:t>
      </w:r>
      <w:r w:rsidR="000C1EAC" w:rsidRPr="00E82E57">
        <w:rPr>
          <w:rFonts w:asciiTheme="minorHAnsi" w:hAnsiTheme="minorHAnsi"/>
          <w:i/>
          <w:iCs/>
          <w:lang w:val="en-US"/>
        </w:rPr>
        <w:t>Archaeology Ethnology &amp; Anthropology of Eurasia</w:t>
      </w:r>
      <w:r w:rsidRPr="00E82E57">
        <w:rPr>
          <w:rFonts w:asciiTheme="minorHAnsi" w:hAnsiTheme="minorHAnsi"/>
          <w:lang w:val="en-US"/>
        </w:rPr>
        <w:t>, 40 (3), 12-21.</w:t>
      </w:r>
    </w:p>
    <w:p w14:paraId="237432E0" w14:textId="45DFF559" w:rsidR="004E4519" w:rsidRDefault="004E4519" w:rsidP="004E4519">
      <w:r w:rsidRPr="007104C6">
        <w:t xml:space="preserve">- Lebègue F., </w:t>
      </w:r>
      <w:r w:rsidRPr="007104C6">
        <w:rPr>
          <w:b/>
        </w:rPr>
        <w:t>Meignen L.-</w:t>
      </w:r>
      <w:r w:rsidRPr="007104C6">
        <w:t xml:space="preserve"> (2014) Quina ou pas? Révision techno-économique d’un site moustérien charentien en Languedoc oriental : la grotte de la Roquette à Conqueyrac (Gard, France). </w:t>
      </w:r>
      <w:r w:rsidRPr="007104C6">
        <w:rPr>
          <w:i/>
        </w:rPr>
        <w:t>Bulletin de la Société Préhistorique de France</w:t>
      </w:r>
      <w:r w:rsidRPr="007104C6">
        <w:t>, 111/4, 603-630.</w:t>
      </w:r>
    </w:p>
    <w:p w14:paraId="5107D35D" w14:textId="0E6612A9" w:rsidR="000C1EAC" w:rsidRDefault="00E82E57" w:rsidP="000C1EAC">
      <w:pPr>
        <w:pStyle w:val="refbiblio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- </w:t>
      </w:r>
      <w:r w:rsidRPr="00E82E57">
        <w:rPr>
          <w:rFonts w:asciiTheme="minorHAnsi" w:hAnsiTheme="minorHAnsi"/>
          <w:b/>
        </w:rPr>
        <w:t>Meignen L.,</w:t>
      </w:r>
      <w:r>
        <w:rPr>
          <w:rFonts w:asciiTheme="minorHAnsi" w:hAnsiTheme="minorHAnsi"/>
        </w:rPr>
        <w:t xml:space="preserve"> Goldberg P., Bar-Yosef, O</w:t>
      </w:r>
      <w:r w:rsidRPr="00E82E57">
        <w:rPr>
          <w:rFonts w:asciiTheme="minorHAnsi" w:hAnsiTheme="minorHAnsi"/>
        </w:rPr>
        <w:t>.</w:t>
      </w:r>
      <w:r w:rsidR="000C1EAC" w:rsidRPr="00E82E57">
        <w:rPr>
          <w:rFonts w:asciiTheme="minorHAnsi" w:hAnsiTheme="minorHAnsi"/>
        </w:rPr>
        <w:t xml:space="preserve"> </w:t>
      </w:r>
      <w:r w:rsidRPr="00E82E57">
        <w:rPr>
          <w:rFonts w:asciiTheme="minorHAnsi" w:hAnsiTheme="minorHAnsi"/>
        </w:rPr>
        <w:t>(</w:t>
      </w:r>
      <w:r w:rsidR="000C1EAC" w:rsidRPr="00E82E57">
        <w:rPr>
          <w:rFonts w:asciiTheme="minorHAnsi" w:hAnsiTheme="minorHAnsi"/>
          <w:bCs/>
        </w:rPr>
        <w:t>2017</w:t>
      </w:r>
      <w:r w:rsidRPr="00E82E57">
        <w:rPr>
          <w:rFonts w:asciiTheme="minorHAnsi" w:hAnsiTheme="minorHAnsi"/>
          <w:bCs/>
        </w:rPr>
        <w:t>)</w:t>
      </w:r>
      <w:r w:rsidR="000C1EAC" w:rsidRPr="00E82E57">
        <w:rPr>
          <w:rFonts w:asciiTheme="minorHAnsi" w:hAnsiTheme="minorHAnsi"/>
        </w:rPr>
        <w:t>.</w:t>
      </w:r>
      <w:r w:rsidR="000C1EAC" w:rsidRPr="00AF7632">
        <w:rPr>
          <w:rFonts w:asciiTheme="minorHAnsi" w:hAnsiTheme="minorHAnsi"/>
        </w:rPr>
        <w:t xml:space="preserve"> </w:t>
      </w:r>
      <w:r w:rsidR="000C1EAC" w:rsidRPr="00AF7632">
        <w:rPr>
          <w:rFonts w:asciiTheme="minorHAnsi" w:hAnsiTheme="minorHAnsi"/>
          <w:lang w:val="en-US"/>
        </w:rPr>
        <w:t xml:space="preserve">Together in the field : Interdisciplinary work in Kebara and Hayonim Caves (Israel). </w:t>
      </w:r>
      <w:r w:rsidR="000C1EAC" w:rsidRPr="00AF7632">
        <w:rPr>
          <w:rFonts w:asciiTheme="minorHAnsi" w:hAnsiTheme="minorHAnsi"/>
          <w:i/>
          <w:iCs/>
          <w:lang w:val="en-US"/>
        </w:rPr>
        <w:t>Archaeological and Anthropological Sciences</w:t>
      </w:r>
      <w:r w:rsidR="000C1EAC" w:rsidRPr="00AF7632">
        <w:rPr>
          <w:rFonts w:asciiTheme="minorHAnsi" w:hAnsiTheme="minorHAnsi"/>
          <w:lang w:val="en-US"/>
        </w:rPr>
        <w:t xml:space="preserve">, </w:t>
      </w:r>
      <w:r w:rsidR="000C1EAC" w:rsidRPr="000C1EAC">
        <w:rPr>
          <w:rFonts w:asciiTheme="minorHAnsi" w:hAnsiTheme="minorHAnsi" w:cs="DmytrwAdvTT3713a231"/>
          <w:color w:val="131413"/>
        </w:rPr>
        <w:t>9:1603–1612</w:t>
      </w:r>
      <w:r w:rsidR="000C1EAC" w:rsidRPr="000C1EAC">
        <w:rPr>
          <w:rFonts w:asciiTheme="minorHAnsi" w:hAnsiTheme="minorHAnsi"/>
          <w:lang w:val="en-US"/>
        </w:rPr>
        <w:t>,</w:t>
      </w:r>
      <w:r w:rsidR="000C1EAC" w:rsidRPr="00AF7632">
        <w:rPr>
          <w:rFonts w:asciiTheme="minorHAnsi" w:hAnsiTheme="minorHAnsi"/>
          <w:lang w:val="en-US"/>
        </w:rPr>
        <w:t xml:space="preserve"> DOI</w:t>
      </w:r>
      <w:r>
        <w:rPr>
          <w:rFonts w:asciiTheme="minorHAnsi" w:hAnsiTheme="minorHAnsi"/>
          <w:lang w:val="en-US"/>
        </w:rPr>
        <w:t xml:space="preserve">10.1007/s12520-014-0185-4. </w:t>
      </w:r>
    </w:p>
    <w:p w14:paraId="64B4E580" w14:textId="53EFCBED" w:rsidR="001C279B" w:rsidRPr="00181FA3" w:rsidRDefault="00E82E57" w:rsidP="001C279B">
      <w:pPr>
        <w:pStyle w:val="refbibli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1C279B" w:rsidRPr="00E82E57">
        <w:rPr>
          <w:rFonts w:asciiTheme="minorHAnsi" w:hAnsiTheme="minorHAnsi"/>
          <w:b/>
        </w:rPr>
        <w:t>Meignen, L.,</w:t>
      </w:r>
      <w:r w:rsidR="00802085">
        <w:rPr>
          <w:rFonts w:asciiTheme="minorHAnsi" w:hAnsiTheme="minorHAnsi"/>
        </w:rPr>
        <w:t xml:space="preserve"> Speth, J., Bar-Yosef, O.</w:t>
      </w:r>
      <w:r w:rsidR="001C279B">
        <w:rPr>
          <w:rFonts w:asciiTheme="minorHAnsi" w:hAnsiTheme="minorHAnsi"/>
        </w:rPr>
        <w:t xml:space="preserve"> (</w:t>
      </w:r>
      <w:r w:rsidR="001C279B" w:rsidRPr="00181FA3">
        <w:rPr>
          <w:rFonts w:asciiTheme="minorHAnsi" w:hAnsiTheme="minorHAnsi"/>
        </w:rPr>
        <w:t>2017</w:t>
      </w:r>
      <w:r w:rsidR="001C279B">
        <w:rPr>
          <w:rFonts w:asciiTheme="minorHAnsi" w:hAnsiTheme="minorHAnsi"/>
        </w:rPr>
        <w:t xml:space="preserve">) </w:t>
      </w:r>
      <w:r w:rsidR="001C279B" w:rsidRPr="00181FA3">
        <w:rPr>
          <w:rFonts w:asciiTheme="minorHAnsi" w:hAnsiTheme="minorHAnsi"/>
        </w:rPr>
        <w:t xml:space="preserve">Stratégies de subsistance et fonction de site au Paléolithique moyen récent : apports de la séquence de Kébara (Mont Carmel, Israël). </w:t>
      </w:r>
      <w:r w:rsidR="001C279B" w:rsidRPr="00332D60">
        <w:rPr>
          <w:rFonts w:asciiTheme="minorHAnsi" w:hAnsiTheme="minorHAnsi"/>
          <w:i/>
        </w:rPr>
        <w:t xml:space="preserve">Paléorient </w:t>
      </w:r>
      <w:r w:rsidR="001C279B" w:rsidRPr="00181FA3">
        <w:rPr>
          <w:rFonts w:asciiTheme="minorHAnsi" w:hAnsiTheme="minorHAnsi"/>
        </w:rPr>
        <w:t>43-1, 9-47.</w:t>
      </w:r>
    </w:p>
    <w:p w14:paraId="78443806" w14:textId="55C8C514" w:rsidR="00505AF3" w:rsidRPr="00505AF3" w:rsidRDefault="00E82E57" w:rsidP="00505AF3">
      <w:pPr>
        <w:widowControl w:val="0"/>
        <w:autoSpaceDE w:val="0"/>
        <w:autoSpaceDN w:val="0"/>
        <w:adjustRightInd w:val="0"/>
        <w:spacing w:after="0"/>
        <w:rPr>
          <w:rFonts w:cs="Helvetica-Bold"/>
          <w:b/>
          <w:bCs/>
        </w:rPr>
      </w:pPr>
      <w:r>
        <w:t xml:space="preserve">- </w:t>
      </w:r>
      <w:r w:rsidR="00505AF3">
        <w:t xml:space="preserve">Frouin, M., Lahaye, C., Mercier, N., Guibert, P., Couchoud, I., Texier, J.-P., Royer, A., Costamagno, S., Beauval, C., Bourguignon, L., </w:t>
      </w:r>
      <w:r w:rsidR="00505AF3" w:rsidRPr="00E82E57">
        <w:rPr>
          <w:b/>
        </w:rPr>
        <w:t>Meignen, L.,</w:t>
      </w:r>
      <w:r w:rsidR="00505AF3">
        <w:t xml:space="preserve"> Bordes, J.-G., Seguin, G., Bocherens, H., Lacrampe-Cuyaubère, Muth, X., Grün, R., Garralda, M.-D., Vandermeers</w:t>
      </w:r>
      <w:r w:rsidR="00802085">
        <w:t xml:space="preserve">ch, B., Mann, A., Maureille, B. </w:t>
      </w:r>
      <w:r w:rsidR="00505AF3">
        <w:t xml:space="preserve">(2017). </w:t>
      </w:r>
      <w:r w:rsidR="00505AF3" w:rsidRPr="00332D60">
        <w:rPr>
          <w:rFonts w:cs="Helvetica-Bold"/>
          <w:bCs/>
        </w:rPr>
        <w:t>Chronologie du site moustérien de type Quina des Pradelles (Marillac-le-Franc, Charente, France).</w:t>
      </w:r>
      <w:r w:rsidR="00505AF3">
        <w:rPr>
          <w:rFonts w:cs="Helvetica-Bold"/>
          <w:b/>
          <w:bCs/>
        </w:rPr>
        <w:t xml:space="preserve"> </w:t>
      </w:r>
      <w:r w:rsidRPr="00E82E57">
        <w:rPr>
          <w:rFonts w:cs="Helvetica"/>
          <w:i/>
        </w:rPr>
        <w:t>Paléo</w:t>
      </w:r>
      <w:r w:rsidR="00505AF3">
        <w:rPr>
          <w:rFonts w:cs="Helvetica"/>
        </w:rPr>
        <w:t>, 28 ,</w:t>
      </w:r>
      <w:r>
        <w:rPr>
          <w:rFonts w:cs="Helvetica"/>
        </w:rPr>
        <w:t xml:space="preserve"> 117-</w:t>
      </w:r>
      <w:r w:rsidR="00505AF3" w:rsidRPr="00505AF3">
        <w:rPr>
          <w:rFonts w:cs="Helvetica"/>
        </w:rPr>
        <w:t>136</w:t>
      </w:r>
      <w:r w:rsidR="00505AF3">
        <w:rPr>
          <w:rFonts w:cs="Helvetica"/>
        </w:rPr>
        <w:t>.</w:t>
      </w:r>
      <w:r w:rsidR="00505AF3" w:rsidRPr="00505AF3">
        <w:rPr>
          <w:rFonts w:cs="Helvetica-Bold"/>
          <w:b/>
          <w:bCs/>
        </w:rPr>
        <w:t xml:space="preserve"> </w:t>
      </w:r>
    </w:p>
    <w:p w14:paraId="29CA4D65" w14:textId="77777777" w:rsidR="000C1EAC" w:rsidRPr="007104C6" w:rsidRDefault="000C1EAC" w:rsidP="004E4519"/>
    <w:p w14:paraId="3BD08807" w14:textId="77777777" w:rsidR="004E4519" w:rsidRPr="007104C6" w:rsidRDefault="004E4519" w:rsidP="004E4519"/>
    <w:p w14:paraId="49FF476A" w14:textId="77777777" w:rsidR="004E4519" w:rsidRPr="007104C6" w:rsidRDefault="004E4519" w:rsidP="004E4519">
      <w:pPr>
        <w:rPr>
          <w:b/>
          <w:i/>
        </w:rPr>
      </w:pPr>
      <w:r w:rsidRPr="007104C6">
        <w:rPr>
          <w:rFonts w:cs="Calibri"/>
          <w:b/>
          <w:i/>
        </w:rPr>
        <w:t>Revues avec comité de lecture non répertoriées par l’AERES ou dans des bases de données internationales (</w:t>
      </w:r>
      <w:r w:rsidRPr="007104C6">
        <w:rPr>
          <w:b/>
          <w:i/>
        </w:rPr>
        <w:t xml:space="preserve">ACLN) </w:t>
      </w:r>
    </w:p>
    <w:p w14:paraId="6163834D" w14:textId="7619B488" w:rsidR="004E4519" w:rsidRPr="007104C6" w:rsidRDefault="00802085" w:rsidP="004E4519">
      <w:r>
        <w:rPr>
          <w:b/>
        </w:rPr>
        <w:t xml:space="preserve">- </w:t>
      </w:r>
      <w:r w:rsidR="004E4519" w:rsidRPr="007104C6">
        <w:rPr>
          <w:b/>
        </w:rPr>
        <w:t>Meignen, L.</w:t>
      </w:r>
      <w:r w:rsidR="004E4519" w:rsidRPr="007104C6">
        <w:t xml:space="preserve"> &amp; N. </w:t>
      </w:r>
      <w:r w:rsidR="00505AF3">
        <w:t>Tushabramishvili, (</w:t>
      </w:r>
      <w:r w:rsidR="004E4519" w:rsidRPr="007104C6">
        <w:t xml:space="preserve">2010). Djruchula cave, on the Southern slopes of the Great Caucasus: an extension of the Near Eastern Middle Paleolithic blady phenomenon to the North, </w:t>
      </w:r>
      <w:r w:rsidR="004E4519" w:rsidRPr="007104C6">
        <w:rPr>
          <w:i/>
        </w:rPr>
        <w:t>Journal of Israel Prehistoric Society,</w:t>
      </w:r>
      <w:r w:rsidR="004E4519" w:rsidRPr="007104C6">
        <w:t xml:space="preserve"> special issue, vol.40 : 35-61</w:t>
      </w:r>
    </w:p>
    <w:p w14:paraId="3D7330A8" w14:textId="532FCA7A" w:rsidR="004E4519" w:rsidRPr="007104C6" w:rsidRDefault="00802085" w:rsidP="004E4519">
      <w:pPr>
        <w:rPr>
          <w:bCs/>
        </w:rPr>
      </w:pPr>
      <w:r>
        <w:t xml:space="preserve">- </w:t>
      </w:r>
      <w:r w:rsidR="004E4519" w:rsidRPr="007104C6">
        <w:t xml:space="preserve">Bisson M., Burke A., </w:t>
      </w:r>
      <w:r w:rsidR="004E4519" w:rsidRPr="007104C6">
        <w:rPr>
          <w:b/>
        </w:rPr>
        <w:t>Meignen L</w:t>
      </w:r>
      <w:r w:rsidR="004E4519" w:rsidRPr="007104C6">
        <w:t xml:space="preserve">., Burke Ad. .- (2011)  Moínhos </w:t>
      </w:r>
      <w:r w:rsidR="004E4519" w:rsidRPr="007104C6">
        <w:rPr>
          <w:bCs/>
        </w:rPr>
        <w:t xml:space="preserve">and Mina do Paço: Middle Paleolithic lithic chipping stations in the Sado Basin, Alentejo, Portugal. </w:t>
      </w:r>
      <w:r w:rsidR="004E4519" w:rsidRPr="007104C6">
        <w:rPr>
          <w:bCs/>
          <w:i/>
        </w:rPr>
        <w:t xml:space="preserve">O Arqueologo Portugues, </w:t>
      </w:r>
      <w:r w:rsidR="004E4519" w:rsidRPr="007104C6">
        <w:rPr>
          <w:bCs/>
        </w:rPr>
        <w:t>V/1, 359-394</w:t>
      </w:r>
    </w:p>
    <w:p w14:paraId="37BD2F6F" w14:textId="77777777" w:rsidR="004E4519" w:rsidRPr="007104C6" w:rsidRDefault="004E4519" w:rsidP="004E4519">
      <w:pPr>
        <w:rPr>
          <w:bCs/>
        </w:rPr>
      </w:pPr>
    </w:p>
    <w:p w14:paraId="6FD18173" w14:textId="77777777" w:rsidR="004E4519" w:rsidRPr="007104C6" w:rsidRDefault="004E4519" w:rsidP="004E4519">
      <w:pPr>
        <w:rPr>
          <w:bCs/>
        </w:rPr>
      </w:pPr>
    </w:p>
    <w:p w14:paraId="53600798" w14:textId="77777777" w:rsidR="004E4519" w:rsidRPr="007104C6" w:rsidRDefault="004E4519" w:rsidP="004E4519">
      <w:pPr>
        <w:rPr>
          <w:b/>
          <w:i/>
        </w:rPr>
      </w:pPr>
      <w:r w:rsidRPr="007104C6">
        <w:rPr>
          <w:b/>
          <w:i/>
        </w:rPr>
        <w:t>Publications de congrès/colloques internationaux (C-ACTI)</w:t>
      </w:r>
    </w:p>
    <w:p w14:paraId="261044F0" w14:textId="20404721" w:rsidR="004E4519" w:rsidRPr="007104C6" w:rsidRDefault="00802085" w:rsidP="004E4519">
      <w:r>
        <w:rPr>
          <w:b/>
        </w:rPr>
        <w:t xml:space="preserve">- </w:t>
      </w:r>
      <w:r w:rsidR="004E4519" w:rsidRPr="007104C6">
        <w:rPr>
          <w:b/>
        </w:rPr>
        <w:t xml:space="preserve">Meignen, L. </w:t>
      </w:r>
      <w:r w:rsidR="004E4519" w:rsidRPr="007104C6">
        <w:t>(2011). Contribution of Hayonim cave assemblages to the understanding of the so-called « Early Levantine Mousterian ». In "</w:t>
      </w:r>
      <w:r w:rsidR="004E4519" w:rsidRPr="007104C6">
        <w:rPr>
          <w:i/>
        </w:rPr>
        <w:t>The Lower and Middle Palaeolithic in the Middle East and neighbouring regions</w:t>
      </w:r>
      <w:r w:rsidR="004E4519" w:rsidRPr="007104C6">
        <w:t xml:space="preserve">",  </w:t>
      </w:r>
      <w:r w:rsidRPr="007104C6">
        <w:t xml:space="preserve">Le Tensorer J.M., Jagher R., Otte M. (eds), </w:t>
      </w:r>
      <w:r w:rsidR="004E4519" w:rsidRPr="007104C6">
        <w:t>ERAUL 126 : 85-100.</w:t>
      </w:r>
    </w:p>
    <w:p w14:paraId="5931622F" w14:textId="5CF71C7C" w:rsidR="004E4519" w:rsidRDefault="00802085" w:rsidP="004E4519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="Times-BoldItalic"/>
          <w:bCs/>
          <w:iCs/>
          <w:lang w:bidi="fr-FR"/>
        </w:rPr>
      </w:pPr>
      <w:r>
        <w:rPr>
          <w:rFonts w:cs="Garamond-Bold"/>
          <w:lang w:bidi="fr-FR"/>
        </w:rPr>
        <w:t xml:space="preserve">- </w:t>
      </w:r>
      <w:r w:rsidR="004E4519" w:rsidRPr="007104C6">
        <w:rPr>
          <w:rFonts w:cs="Garamond-Bold"/>
          <w:lang w:bidi="fr-FR"/>
        </w:rPr>
        <w:t xml:space="preserve">Rendu W., Bourguignon L., Costamagno S., </w:t>
      </w:r>
      <w:r w:rsidR="004E4519" w:rsidRPr="007104C6">
        <w:rPr>
          <w:rFonts w:cs="Garamond-Bold"/>
          <w:b/>
          <w:lang w:bidi="fr-FR"/>
        </w:rPr>
        <w:t>Meignen L</w:t>
      </w:r>
      <w:r w:rsidR="004E4519" w:rsidRPr="007104C6">
        <w:rPr>
          <w:rFonts w:cs="Garamond-Bold"/>
          <w:lang w:bidi="fr-FR"/>
        </w:rPr>
        <w:t xml:space="preserve">., Soulier M.-C., Armand D., David F., Griggo C., Jaubert J., Maureille B., Park S.-  (2011) Approche interdisciplinaire et réflexions méthodologiques sur la question des haltes de chasse au Moustérien. </w:t>
      </w:r>
      <w:r w:rsidR="004E4519" w:rsidRPr="007104C6">
        <w:rPr>
          <w:rFonts w:cs="Times-BoldItalic"/>
          <w:bCs/>
          <w:i/>
          <w:iCs/>
          <w:lang w:bidi="fr-FR"/>
        </w:rPr>
        <w:t xml:space="preserve">Palethnologie/Palethnology </w:t>
      </w:r>
      <w:r w:rsidR="004E4519" w:rsidRPr="007104C6">
        <w:rPr>
          <w:rFonts w:cs="Times-BoldItalic"/>
          <w:bCs/>
          <w:iCs/>
          <w:lang w:bidi="fr-FR"/>
        </w:rPr>
        <w:t>n°3 « Haltes de chasse en Préhistoire : quelles réalités archéologiques ? », 61-76</w:t>
      </w:r>
    </w:p>
    <w:p w14:paraId="292F4E1E" w14:textId="667FC340" w:rsidR="00CB1D17" w:rsidRDefault="00802085" w:rsidP="00802085">
      <w:pPr>
        <w:pStyle w:val="refbibli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B1D17" w:rsidRPr="00CB1D17">
        <w:rPr>
          <w:rFonts w:asciiTheme="minorHAnsi" w:hAnsiTheme="minorHAnsi"/>
        </w:rPr>
        <w:t xml:space="preserve">Tillier, A.-M., </w:t>
      </w:r>
      <w:r w:rsidR="00CB1D17" w:rsidRPr="00802085">
        <w:rPr>
          <w:rFonts w:asciiTheme="minorHAnsi" w:hAnsiTheme="minorHAnsi"/>
          <w:b/>
        </w:rPr>
        <w:t xml:space="preserve">Meignen, L. </w:t>
      </w:r>
      <w:r w:rsidR="00CB1D17" w:rsidRPr="00CB1D17">
        <w:rPr>
          <w:rFonts w:asciiTheme="minorHAnsi" w:hAnsiTheme="minorHAnsi"/>
        </w:rPr>
        <w:t xml:space="preserve"> (2016) Décrypter la genèse de l’archéologie funéraire : l’exemple de quelques sépultures moustériennes du Proche-Orient. In : </w:t>
      </w:r>
      <w:r w:rsidR="00CB1D17" w:rsidRPr="00CB1D17">
        <w:rPr>
          <w:rFonts w:asciiTheme="minorHAnsi" w:hAnsiTheme="minorHAnsi"/>
          <w:i/>
        </w:rPr>
        <w:t>Qu’est-ce qu’une sépulture ? Humanités et systèmes funéraires de la Préhistoire à nos jours</w:t>
      </w:r>
      <w:r w:rsidR="00CB1D17" w:rsidRPr="00CB1D17">
        <w:rPr>
          <w:rFonts w:asciiTheme="minorHAnsi" w:hAnsiTheme="minorHAnsi"/>
        </w:rPr>
        <w:t>. M. Lauwers et A. Zemour, eds, XXXVI° rencontres internationales d’archéologie et d’histoire d’Antibes, pp 143-159. Editions APDCA, Antibes.</w:t>
      </w:r>
    </w:p>
    <w:p w14:paraId="4A0101C2" w14:textId="77777777" w:rsidR="00CB1D17" w:rsidRDefault="00CB1D17" w:rsidP="00802085">
      <w:pPr>
        <w:pStyle w:val="refbiblio"/>
        <w:ind w:hanging="11"/>
        <w:rPr>
          <w:rFonts w:asciiTheme="minorHAnsi" w:hAnsiTheme="minorHAnsi"/>
        </w:rPr>
      </w:pPr>
    </w:p>
    <w:p w14:paraId="0FDF609B" w14:textId="5EEDE92A" w:rsidR="00CB1D17" w:rsidRPr="00CB1D17" w:rsidRDefault="00802085" w:rsidP="002637A3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>
        <w:rPr>
          <w:rFonts w:cs="Calibri"/>
        </w:rPr>
        <w:t xml:space="preserve">- </w:t>
      </w:r>
      <w:r w:rsidR="00CB1D17" w:rsidRPr="00CB1D17">
        <w:rPr>
          <w:rFonts w:cs="Calibri"/>
        </w:rPr>
        <w:t xml:space="preserve">Costamagno S., Bourguignon L., Soulier M.-C., Beauval C., </w:t>
      </w:r>
      <w:r w:rsidR="00CB1D17" w:rsidRPr="00802085">
        <w:rPr>
          <w:rFonts w:cs="Calibri"/>
          <w:b/>
        </w:rPr>
        <w:t>Meignen L.,</w:t>
      </w:r>
      <w:r w:rsidR="00CB1D17" w:rsidRPr="00CB1D17">
        <w:rPr>
          <w:rFonts w:cs="Calibri"/>
        </w:rPr>
        <w:t xml:space="preserve"> Rendu W., Maureille B., 2017 -</w:t>
      </w:r>
      <w:r w:rsidR="00CB1D17" w:rsidRPr="00CB1D17">
        <w:rPr>
          <w:rFonts w:cs="Calibri"/>
          <w:b/>
          <w:bCs/>
        </w:rPr>
        <w:t xml:space="preserve">  </w:t>
      </w:r>
      <w:r w:rsidR="00CB1D17" w:rsidRPr="00CB1D17">
        <w:rPr>
          <w:rFonts w:cs="Calibri"/>
        </w:rPr>
        <w:t>Bone retouchers and site function in the Quina Mousterian: The case of Les Pradell</w:t>
      </w:r>
      <w:r>
        <w:rPr>
          <w:rFonts w:cs="Calibri"/>
        </w:rPr>
        <w:t xml:space="preserve">es (Marillac-le-Franc, France). </w:t>
      </w:r>
      <w:r w:rsidRPr="00802085">
        <w:rPr>
          <w:rFonts w:cs="Calibri"/>
          <w:i/>
        </w:rPr>
        <w:t>I</w:t>
      </w:r>
      <w:r w:rsidR="00CB1D17" w:rsidRPr="00802085">
        <w:rPr>
          <w:rFonts w:cs="Calibri"/>
          <w:i/>
          <w:iCs/>
        </w:rPr>
        <w:t>n</w:t>
      </w:r>
      <w:r w:rsidR="00CB1D17" w:rsidRPr="00CB1D17">
        <w:rPr>
          <w:rFonts w:cs="Calibri"/>
        </w:rPr>
        <w:t> : Hutson, J. M., García-Moreno, A., Noack, E., Turner, E., Villaluenga, A.,</w:t>
      </w:r>
      <w:r w:rsidR="002637A3">
        <w:rPr>
          <w:rFonts w:cs="Calibri"/>
        </w:rPr>
        <w:t xml:space="preserve"> Gaudzinski-Windheuser, S. (eds</w:t>
      </w:r>
      <w:r w:rsidR="00CB1D17" w:rsidRPr="00CB1D17">
        <w:rPr>
          <w:rFonts w:cs="Calibri"/>
        </w:rPr>
        <w:t xml:space="preserve">), </w:t>
      </w:r>
      <w:r w:rsidR="00CB1D17" w:rsidRPr="00CB1D17">
        <w:rPr>
          <w:rFonts w:cs="Calibri"/>
          <w:i/>
        </w:rPr>
        <w:t>The origins of bone tool technologies.</w:t>
      </w:r>
      <w:r w:rsidR="00CB1D17" w:rsidRPr="00CB1D17">
        <w:rPr>
          <w:rFonts w:cs="Calibri"/>
        </w:rPr>
        <w:t xml:space="preserve"> International Workshop on Palaeolithic bone tools, 21-23 octobre 2015, Hanover, Allemagne. On line Proceedings</w:t>
      </w:r>
      <w:r w:rsidR="002637A3">
        <w:rPr>
          <w:rFonts w:cs="Calibri"/>
        </w:rPr>
        <w:t xml:space="preserve"> </w:t>
      </w:r>
      <w:hyperlink r:id="rId8" w:history="1">
        <w:r w:rsidR="00CB1D17" w:rsidRPr="00CB1D17">
          <w:rPr>
            <w:rFonts w:cs="Calibri"/>
            <w:color w:val="0000E9"/>
            <w:u w:val="single" w:color="0000E9"/>
          </w:rPr>
          <w:t>https://retouchingthepalaeolithic.files.wordpress.com/2017/10/costamagnos_bone-retouchers-and-site-function.pdf</w:t>
        </w:r>
      </w:hyperlink>
    </w:p>
    <w:p w14:paraId="6A1DDE56" w14:textId="77777777" w:rsidR="00CB1D17" w:rsidRPr="00AF7632" w:rsidRDefault="00CB1D17" w:rsidP="002637A3">
      <w:pPr>
        <w:pStyle w:val="refbiblio"/>
        <w:ind w:hanging="11"/>
        <w:rPr>
          <w:rFonts w:asciiTheme="minorHAnsi" w:hAnsiTheme="minorHAnsi"/>
        </w:rPr>
      </w:pPr>
    </w:p>
    <w:p w14:paraId="556F4823" w14:textId="77777777" w:rsidR="00CB1D17" w:rsidRPr="007104C6" w:rsidDel="009800B9" w:rsidRDefault="00CB1D17" w:rsidP="00802085">
      <w:pPr>
        <w:widowControl w:val="0"/>
        <w:tabs>
          <w:tab w:val="left" w:pos="426"/>
        </w:tabs>
        <w:autoSpaceDE w:val="0"/>
        <w:autoSpaceDN w:val="0"/>
        <w:adjustRightInd w:val="0"/>
        <w:ind w:hanging="11"/>
        <w:rPr>
          <w:rFonts w:cs="Times-BoldItalic"/>
          <w:bCs/>
          <w:iCs/>
          <w:lang w:bidi="fr-FR"/>
        </w:rPr>
      </w:pPr>
    </w:p>
    <w:p w14:paraId="56908B5A" w14:textId="77777777" w:rsidR="004E4519" w:rsidRPr="007104C6" w:rsidRDefault="004E4519" w:rsidP="004E4519">
      <w:pPr>
        <w:rPr>
          <w:bCs/>
        </w:rPr>
      </w:pPr>
    </w:p>
    <w:p w14:paraId="023ED337" w14:textId="4DF56A77" w:rsidR="004E4519" w:rsidRPr="007104C6" w:rsidRDefault="004E4519" w:rsidP="004E4519">
      <w:pPr>
        <w:rPr>
          <w:b/>
          <w:bCs/>
          <w:i/>
        </w:rPr>
      </w:pPr>
      <w:r w:rsidRPr="007104C6">
        <w:rPr>
          <w:b/>
          <w:bCs/>
          <w:i/>
        </w:rPr>
        <w:t>Chapitres ouvrages</w:t>
      </w:r>
      <w:r w:rsidR="002379F2" w:rsidRPr="007104C6">
        <w:rPr>
          <w:b/>
          <w:bCs/>
          <w:i/>
        </w:rPr>
        <w:t xml:space="preserve"> (Book section)</w:t>
      </w:r>
    </w:p>
    <w:p w14:paraId="3F399E73" w14:textId="04E34913" w:rsidR="004E4519" w:rsidRPr="007104C6" w:rsidRDefault="004E4519" w:rsidP="004E4519">
      <w:r w:rsidRPr="007104C6">
        <w:t>- Burke, A</w:t>
      </w:r>
      <w:r w:rsidRPr="007104C6">
        <w:rPr>
          <w:b/>
        </w:rPr>
        <w:t>., L. Meignen</w:t>
      </w:r>
      <w:r w:rsidR="002637A3">
        <w:t>, L. Gilbert, C. Parslow  and</w:t>
      </w:r>
      <w:r w:rsidRPr="007104C6">
        <w:t xml:space="preserve"> N. F. Bicho, (2010). The Palaeolithic occupation of the Sado Basin (Alentejo, Portugal): preliminary results. in </w:t>
      </w:r>
      <w:r w:rsidRPr="007104C6">
        <w:rPr>
          <w:i/>
        </w:rPr>
        <w:t>Middle Palaeolithic settlement patterns</w:t>
      </w:r>
      <w:r w:rsidRPr="007104C6">
        <w:t>. N. Conard (ed.), Tübingen: Kerns Verlag, pp.509-526.</w:t>
      </w:r>
    </w:p>
    <w:p w14:paraId="208087D6" w14:textId="2C391840" w:rsidR="004E4519" w:rsidRPr="007104C6" w:rsidRDefault="004E4519" w:rsidP="004E4519">
      <w:r w:rsidRPr="007104C6">
        <w:t xml:space="preserve">-Texier P.J., </w:t>
      </w:r>
      <w:r w:rsidRPr="007104C6" w:rsidDel="009800B9">
        <w:rPr>
          <w:b/>
        </w:rPr>
        <w:t>Meignen</w:t>
      </w:r>
      <w:r w:rsidRPr="007104C6">
        <w:rPr>
          <w:b/>
        </w:rPr>
        <w:t>, L.</w:t>
      </w:r>
      <w:r w:rsidRPr="007104C6" w:rsidDel="009800B9">
        <w:t xml:space="preserve"> (</w:t>
      </w:r>
      <w:r w:rsidRPr="007104C6">
        <w:t>2011</w:t>
      </w:r>
      <w:r w:rsidRPr="007104C6" w:rsidDel="009800B9">
        <w:t xml:space="preserve">)    Soixante années de technologie lithique : étapes marquantes, apports et écueils. </w:t>
      </w:r>
      <w:r w:rsidRPr="007104C6">
        <w:t xml:space="preserve">In </w:t>
      </w:r>
      <w:r w:rsidRPr="007104C6">
        <w:rPr>
          <w:i/>
        </w:rPr>
        <w:t>"François Bordes et la Préhistoire"</w:t>
      </w:r>
      <w:r w:rsidRPr="007104C6">
        <w:t xml:space="preserve">, </w:t>
      </w:r>
      <w:r w:rsidR="002637A3">
        <w:t xml:space="preserve">F. Delpech et J. Jaubert (ed), </w:t>
      </w:r>
      <w:r w:rsidRPr="007104C6">
        <w:t>Documents Préhistoriques, éditions CTHS : 133-139</w:t>
      </w:r>
    </w:p>
    <w:p w14:paraId="7DE7CFFD" w14:textId="3F935C78" w:rsidR="004E4519" w:rsidRDefault="004E4519" w:rsidP="004E4519">
      <w:r w:rsidRPr="007104C6">
        <w:t>-</w:t>
      </w:r>
      <w:r w:rsidRPr="007104C6">
        <w:rPr>
          <w:b/>
        </w:rPr>
        <w:t xml:space="preserve"> Meignen, L</w:t>
      </w:r>
      <w:r w:rsidR="002637A3">
        <w:t xml:space="preserve">. (2013) </w:t>
      </w:r>
      <w:r w:rsidRPr="007104C6">
        <w:t>The Levantine perspectives on the Middle to Upper Paleolithic "Transition". In "</w:t>
      </w:r>
      <w:r w:rsidRPr="007104C6">
        <w:rPr>
          <w:i/>
        </w:rPr>
        <w:t>Basic Issues in Archaeology, Anthropology and Ethnography of Eurasia"</w:t>
      </w:r>
      <w:r w:rsidRPr="007104C6">
        <w:t>, Festschrift on the occasion of A. Derevianko's 70th birthday, Institute of Archaeology and Ethnography SB RAS Press, Novosibirsk : 223-237</w:t>
      </w:r>
    </w:p>
    <w:p w14:paraId="66F5F994" w14:textId="48E1F3F7" w:rsidR="00CB1D17" w:rsidRPr="00CB1D17" w:rsidRDefault="00CB1D17" w:rsidP="00CB1D17">
      <w:pPr>
        <w:widowControl w:val="0"/>
        <w:autoSpaceDE w:val="0"/>
        <w:autoSpaceDN w:val="0"/>
        <w:adjustRightInd w:val="0"/>
        <w:spacing w:after="0"/>
        <w:rPr>
          <w:rFonts w:cs="Tahoma"/>
        </w:rPr>
      </w:pPr>
      <w:r w:rsidRPr="00CB1D17">
        <w:rPr>
          <w:rFonts w:cs="Tahoma"/>
        </w:rPr>
        <w:t xml:space="preserve">- </w:t>
      </w:r>
      <w:r w:rsidRPr="002637A3">
        <w:rPr>
          <w:rFonts w:cs="Tahoma"/>
          <w:b/>
        </w:rPr>
        <w:t>Meignen, L.,</w:t>
      </w:r>
      <w:r w:rsidRPr="00CB1D17">
        <w:rPr>
          <w:rFonts w:cs="Tahoma"/>
        </w:rPr>
        <w:t xml:space="preserve"> Bar Yosef, O., Belfer-Cohen, A., Spet</w:t>
      </w:r>
      <w:r w:rsidR="002637A3">
        <w:rPr>
          <w:rFonts w:cs="Tahoma"/>
        </w:rPr>
        <w:t xml:space="preserve">h,J.,  Vandermeersch, B. (2017)  </w:t>
      </w:r>
      <w:r w:rsidRPr="00CB1D17">
        <w:rPr>
          <w:rFonts w:cs="Tahoma"/>
        </w:rPr>
        <w:t xml:space="preserve">Kebara Cave. In </w:t>
      </w:r>
      <w:r w:rsidRPr="00CB1D17">
        <w:t> </w:t>
      </w:r>
      <w:r w:rsidRPr="00CB1D17">
        <w:rPr>
          <w:rFonts w:cs="Calibri"/>
          <w:i/>
        </w:rPr>
        <w:t>Quaternary Environments, Climate Change and Humans in the Levant </w:t>
      </w:r>
      <w:r w:rsidRPr="00CB1D17">
        <w:rPr>
          <w:rFonts w:cs="Calibri"/>
        </w:rPr>
        <w:t>,</w:t>
      </w:r>
      <w:r w:rsidR="002637A3">
        <w:rPr>
          <w:rFonts w:cs="Calibri"/>
        </w:rPr>
        <w:t xml:space="preserve"> </w:t>
      </w:r>
      <w:r w:rsidR="002637A3" w:rsidRPr="00CB1D17">
        <w:rPr>
          <w:rFonts w:cs="Tahoma"/>
        </w:rPr>
        <w:t xml:space="preserve">Y. Enzel et O. Bar Yosef (eds), </w:t>
      </w:r>
      <w:r w:rsidRPr="00CB1D17">
        <w:rPr>
          <w:rFonts w:cs="Calibri"/>
        </w:rPr>
        <w:t xml:space="preserve"> 241-250, Cambridge University Press, Cambridge, UK.</w:t>
      </w:r>
      <w:r w:rsidRPr="00CB1D17">
        <w:rPr>
          <w:rFonts w:cs="Tahoma"/>
        </w:rPr>
        <w:t xml:space="preserve"> </w:t>
      </w:r>
    </w:p>
    <w:p w14:paraId="0574824E" w14:textId="77777777" w:rsidR="00CB1D17" w:rsidRPr="00CB1D17" w:rsidRDefault="00CB1D17" w:rsidP="00CB1D17">
      <w:pPr>
        <w:widowControl w:val="0"/>
        <w:autoSpaceDE w:val="0"/>
        <w:autoSpaceDN w:val="0"/>
        <w:adjustRightInd w:val="0"/>
        <w:spacing w:after="0"/>
        <w:rPr>
          <w:rFonts w:cs="Tahoma"/>
        </w:rPr>
      </w:pPr>
    </w:p>
    <w:p w14:paraId="61B78E26" w14:textId="44B6EC21" w:rsidR="00CB1D17" w:rsidRPr="00CB1D17" w:rsidRDefault="00CB1D17" w:rsidP="00CB1D17">
      <w:pPr>
        <w:widowControl w:val="0"/>
        <w:autoSpaceDE w:val="0"/>
        <w:autoSpaceDN w:val="0"/>
        <w:adjustRightInd w:val="0"/>
        <w:spacing w:after="0"/>
        <w:rPr>
          <w:rFonts w:cs="Tahoma"/>
        </w:rPr>
      </w:pPr>
      <w:r w:rsidRPr="00CB1D17">
        <w:rPr>
          <w:color w:val="000000"/>
        </w:rPr>
        <w:t xml:space="preserve">- Bar-Yosef, O., Arensburg, B., Belfer-Cohen, A., Goldberg, P., </w:t>
      </w:r>
      <w:r w:rsidRPr="002637A3">
        <w:rPr>
          <w:b/>
          <w:color w:val="000000"/>
        </w:rPr>
        <w:t>Meignen, L</w:t>
      </w:r>
      <w:r w:rsidRPr="00CB1D17">
        <w:rPr>
          <w:color w:val="000000"/>
        </w:rPr>
        <w:t xml:space="preserve">., Stiner, M., Munro, N., Weiner, S. </w:t>
      </w:r>
      <w:r w:rsidR="002637A3">
        <w:rPr>
          <w:rFonts w:cs="Tahoma"/>
        </w:rPr>
        <w:t xml:space="preserve">(2017)   </w:t>
      </w:r>
      <w:r w:rsidRPr="00CB1D17">
        <w:rPr>
          <w:rFonts w:cs="Tahoma"/>
        </w:rPr>
        <w:t xml:space="preserve">Hayonim Cave. In </w:t>
      </w:r>
      <w:r w:rsidR="002637A3" w:rsidRPr="00CB1D17">
        <w:rPr>
          <w:rFonts w:cs="Calibri"/>
          <w:i/>
        </w:rPr>
        <w:t>Quaternary Environments, Climate Change and Humans in the Levant</w:t>
      </w:r>
      <w:r w:rsidR="002637A3">
        <w:rPr>
          <w:rFonts w:cs="Calibri"/>
          <w:i/>
        </w:rPr>
        <w:t xml:space="preserve">, </w:t>
      </w:r>
      <w:r w:rsidRPr="00CB1D17">
        <w:rPr>
          <w:rFonts w:cs="Tahoma"/>
        </w:rPr>
        <w:t xml:space="preserve">Y. Enzel et O. Bar Yosef (eds), </w:t>
      </w:r>
      <w:r w:rsidRPr="00CB1D17">
        <w:rPr>
          <w:rFonts w:cs="Calibri"/>
        </w:rPr>
        <w:t>231-240, Cambridge University Press, Cambridge, UK</w:t>
      </w:r>
      <w:r w:rsidRPr="00CB1D17">
        <w:rPr>
          <w:rFonts w:cs="Tahoma"/>
        </w:rPr>
        <w:t xml:space="preserve"> </w:t>
      </w:r>
      <w:r w:rsidR="002637A3">
        <w:rPr>
          <w:rFonts w:cs="Tahoma"/>
        </w:rPr>
        <w:t>.</w:t>
      </w:r>
    </w:p>
    <w:p w14:paraId="28A9414D" w14:textId="77777777" w:rsidR="002637A3" w:rsidRDefault="002637A3" w:rsidP="004E4519">
      <w:pPr>
        <w:rPr>
          <w:rFonts w:cs="Tahoma"/>
        </w:rPr>
      </w:pPr>
    </w:p>
    <w:p w14:paraId="390B2649" w14:textId="3E914D56" w:rsidR="004E4519" w:rsidRPr="00CB1D17" w:rsidRDefault="004E4519" w:rsidP="004E4519">
      <w:pPr>
        <w:rPr>
          <w:noProof/>
        </w:rPr>
      </w:pPr>
      <w:r w:rsidRPr="00CB1D17">
        <w:rPr>
          <w:color w:val="000000"/>
        </w:rPr>
        <w:t xml:space="preserve"> -</w:t>
      </w:r>
      <w:r w:rsidRPr="00CB1D17">
        <w:rPr>
          <w:b/>
          <w:color w:val="000000"/>
        </w:rPr>
        <w:t>Meignen, L</w:t>
      </w:r>
      <w:r w:rsidR="00CB1D17" w:rsidRPr="00CB1D17">
        <w:rPr>
          <w:color w:val="000000"/>
        </w:rPr>
        <w:t>. (sous presse</w:t>
      </w:r>
      <w:r w:rsidRPr="00CB1D17">
        <w:rPr>
          <w:color w:val="000000"/>
        </w:rPr>
        <w:t>)</w:t>
      </w:r>
      <w:r w:rsidRPr="00CB1D17">
        <w:rPr>
          <w:color w:val="000000"/>
        </w:rPr>
        <w:tab/>
      </w:r>
      <w:r w:rsidR="002637A3">
        <w:rPr>
          <w:color w:val="000000"/>
        </w:rPr>
        <w:t xml:space="preserve"> </w:t>
      </w:r>
      <w:r w:rsidRPr="002637A3">
        <w:rPr>
          <w:lang w:val="en-US"/>
        </w:rPr>
        <w:t>The Mousterian lithic assemblages from Kebara cave</w:t>
      </w:r>
      <w:r w:rsidRPr="00CB1D17">
        <w:rPr>
          <w:lang w:val="en-US"/>
        </w:rPr>
        <w:t xml:space="preserve">. In </w:t>
      </w:r>
      <w:r w:rsidRPr="00CB1D17">
        <w:rPr>
          <w:i/>
          <w:noProof/>
        </w:rPr>
        <w:t xml:space="preserve">Kebara Cave, Mt. Carmel, Israel- The Middle and </w:t>
      </w:r>
      <w:r w:rsidR="002637A3">
        <w:rPr>
          <w:i/>
          <w:noProof/>
        </w:rPr>
        <w:t xml:space="preserve">Upper Paleolithic Archaeology, </w:t>
      </w:r>
      <w:r w:rsidR="002637A3" w:rsidRPr="00CB1D17">
        <w:rPr>
          <w:lang w:val="en-US"/>
        </w:rPr>
        <w:t>Meignen, L. and Bar-Yosef, O. (eds)</w:t>
      </w:r>
      <w:r w:rsidR="002637A3" w:rsidRPr="00CB1D17">
        <w:rPr>
          <w:color w:val="000000"/>
        </w:rPr>
        <w:t xml:space="preserve">, </w:t>
      </w:r>
      <w:r w:rsidRPr="00CB1D17">
        <w:rPr>
          <w:i/>
          <w:noProof/>
        </w:rPr>
        <w:t xml:space="preserve">Part II, </w:t>
      </w:r>
      <w:r w:rsidRPr="00CB1D17">
        <w:rPr>
          <w:noProof/>
        </w:rPr>
        <w:t>American School of Prehistoric Research, Peabody Museum Press, Harvard University, Cambridge (US).</w:t>
      </w:r>
    </w:p>
    <w:p w14:paraId="7BC888EC" w14:textId="2C0B6627" w:rsidR="004E4519" w:rsidRPr="00CB1D17" w:rsidRDefault="004E4519" w:rsidP="004E4519">
      <w:pPr>
        <w:rPr>
          <w:noProof/>
        </w:rPr>
      </w:pPr>
      <w:r w:rsidRPr="00CB1D17">
        <w:rPr>
          <w:lang w:val="en-US"/>
        </w:rPr>
        <w:t xml:space="preserve">- Bar-Yosef, O., </w:t>
      </w:r>
      <w:r w:rsidRPr="00CB1D17">
        <w:rPr>
          <w:b/>
          <w:lang w:val="en-US"/>
        </w:rPr>
        <w:t>Meignen, L</w:t>
      </w:r>
      <w:r w:rsidRPr="00CB1D17">
        <w:rPr>
          <w:lang w:val="en-US"/>
        </w:rPr>
        <w:t>.,Vandermeersch, B., Goldber</w:t>
      </w:r>
      <w:r w:rsidR="00CB1D17" w:rsidRPr="00CB1D17">
        <w:rPr>
          <w:lang w:val="en-US"/>
        </w:rPr>
        <w:t>g, P.,  Belfer-Cohen, A. (sous presse</w:t>
      </w:r>
      <w:r w:rsidRPr="00CB1D17">
        <w:rPr>
          <w:lang w:val="en-US"/>
        </w:rPr>
        <w:t xml:space="preserve">)  </w:t>
      </w:r>
      <w:r w:rsidRPr="002637A3">
        <w:rPr>
          <w:lang w:val="en-US"/>
        </w:rPr>
        <w:t>The Burial of MHK-2, at Kebara cave.</w:t>
      </w:r>
      <w:r w:rsidRPr="00CB1D17">
        <w:rPr>
          <w:lang w:val="en-US"/>
        </w:rPr>
        <w:t xml:space="preserve"> In </w:t>
      </w:r>
      <w:r w:rsidRPr="00CB1D17">
        <w:rPr>
          <w:color w:val="000000"/>
        </w:rPr>
        <w:t> </w:t>
      </w:r>
      <w:r w:rsidRPr="00CB1D17">
        <w:rPr>
          <w:i/>
          <w:noProof/>
        </w:rPr>
        <w:t xml:space="preserve">Kebara Cave, Mt. Carmel, Israel- The Middle and </w:t>
      </w:r>
      <w:r w:rsidR="004F1C7D">
        <w:rPr>
          <w:i/>
          <w:noProof/>
        </w:rPr>
        <w:t xml:space="preserve">Upper Paleolithic Archaeology, </w:t>
      </w:r>
      <w:r w:rsidR="004F1C7D" w:rsidRPr="00CB1D17">
        <w:rPr>
          <w:lang w:val="en-US"/>
        </w:rPr>
        <w:t>Meignen, L. and Bar-Yosef, O. (eds)</w:t>
      </w:r>
      <w:r w:rsidR="004F1C7D" w:rsidRPr="00CB1D17">
        <w:rPr>
          <w:color w:val="000000"/>
        </w:rPr>
        <w:t xml:space="preserve">, </w:t>
      </w:r>
      <w:r w:rsidRPr="00CB1D17">
        <w:rPr>
          <w:i/>
          <w:noProof/>
        </w:rPr>
        <w:t xml:space="preserve"> Part II, </w:t>
      </w:r>
      <w:r w:rsidRPr="00CB1D17">
        <w:rPr>
          <w:noProof/>
        </w:rPr>
        <w:t>American School of Prehistoric Research, Peabody Museum Press, Harvard University, Cambridge (US).</w:t>
      </w:r>
    </w:p>
    <w:p w14:paraId="5739ADBC" w14:textId="0D381199" w:rsidR="004E4519" w:rsidRPr="007104C6" w:rsidRDefault="004E4519" w:rsidP="004E4519">
      <w:pPr>
        <w:rPr>
          <w:noProof/>
        </w:rPr>
      </w:pPr>
      <w:r w:rsidRPr="00CB1D17">
        <w:rPr>
          <w:lang w:val="en-US"/>
        </w:rPr>
        <w:t>-</w:t>
      </w:r>
      <w:r w:rsidRPr="00CB1D17">
        <w:rPr>
          <w:b/>
          <w:lang w:val="en-US"/>
        </w:rPr>
        <w:t xml:space="preserve"> Meignen, L</w:t>
      </w:r>
      <w:r w:rsidRPr="00CB1D17">
        <w:rPr>
          <w:lang w:val="en-US"/>
        </w:rPr>
        <w:t>., Speth, J., Bar-Yos</w:t>
      </w:r>
      <w:r w:rsidR="00CB1D17" w:rsidRPr="00CB1D17">
        <w:rPr>
          <w:lang w:val="en-US"/>
        </w:rPr>
        <w:t>ef, O., Belfer-Cohen, A. (sous presse</w:t>
      </w:r>
      <w:r w:rsidRPr="00CB1D17">
        <w:rPr>
          <w:lang w:val="en-US"/>
        </w:rPr>
        <w:t>)</w:t>
      </w:r>
      <w:r w:rsidRPr="00CB1D17">
        <w:rPr>
          <w:lang w:val="en-US"/>
        </w:rPr>
        <w:tab/>
      </w:r>
      <w:r w:rsidRPr="004F1C7D">
        <w:rPr>
          <w:lang w:val="en-US"/>
        </w:rPr>
        <w:t xml:space="preserve">Changes in the use of Kebara cave during the Middle Paleolithic and Upper Paleolithic times. </w:t>
      </w:r>
      <w:r w:rsidRPr="00CB1D17">
        <w:rPr>
          <w:lang w:val="en-US"/>
        </w:rPr>
        <w:t xml:space="preserve">In </w:t>
      </w:r>
      <w:r w:rsidR="004F1C7D" w:rsidRPr="00CB1D17">
        <w:rPr>
          <w:i/>
          <w:noProof/>
        </w:rPr>
        <w:t>Kebara Cave, Mt. Carmel, Israel- The Middle and</w:t>
      </w:r>
      <w:r w:rsidR="004F1C7D">
        <w:rPr>
          <w:i/>
          <w:noProof/>
        </w:rPr>
        <w:t xml:space="preserve"> Upper Paleolithic Archaeology</w:t>
      </w:r>
      <w:r w:rsidR="004F1C7D" w:rsidRPr="00CB1D17">
        <w:rPr>
          <w:i/>
          <w:noProof/>
        </w:rPr>
        <w:t xml:space="preserve">, </w:t>
      </w:r>
      <w:r w:rsidRPr="00CB1D17">
        <w:rPr>
          <w:lang w:val="en-US"/>
        </w:rPr>
        <w:t>Meignen, L. and Bar-Yosef, O. (eds)</w:t>
      </w:r>
      <w:r w:rsidRPr="00CB1D17">
        <w:rPr>
          <w:color w:val="000000"/>
        </w:rPr>
        <w:t xml:space="preserve">, </w:t>
      </w:r>
      <w:r w:rsidRPr="00CB1D17">
        <w:rPr>
          <w:i/>
          <w:noProof/>
        </w:rPr>
        <w:t xml:space="preserve">Part II, </w:t>
      </w:r>
      <w:r w:rsidRPr="00CB1D17">
        <w:rPr>
          <w:noProof/>
        </w:rPr>
        <w:t>American School of Prehistoric Research, Peabody Museum Press, Harvard University, Cambridge (US).</w:t>
      </w:r>
    </w:p>
    <w:p w14:paraId="5ACAE3A1" w14:textId="77777777" w:rsidR="004E4519" w:rsidRDefault="004E4519" w:rsidP="004E4519">
      <w:pPr>
        <w:rPr>
          <w:b/>
          <w:i/>
        </w:rPr>
      </w:pPr>
    </w:p>
    <w:p w14:paraId="09D249F4" w14:textId="77777777" w:rsidR="00D26A72" w:rsidRPr="00D26A72" w:rsidRDefault="00D26A72" w:rsidP="004E4519">
      <w:pPr>
        <w:rPr>
          <w:i/>
          <w:color w:val="FF0000"/>
        </w:rPr>
      </w:pPr>
    </w:p>
    <w:p w14:paraId="348B8BA1" w14:textId="7AD9F64A" w:rsidR="004E4519" w:rsidRPr="007104C6" w:rsidRDefault="004E4519" w:rsidP="004E4519">
      <w:pPr>
        <w:rPr>
          <w:b/>
          <w:i/>
        </w:rPr>
      </w:pPr>
      <w:r w:rsidRPr="007104C6">
        <w:rPr>
          <w:b/>
          <w:i/>
        </w:rPr>
        <w:t>Chap</w:t>
      </w:r>
      <w:r w:rsidR="00B24761">
        <w:rPr>
          <w:b/>
          <w:i/>
        </w:rPr>
        <w:t>itres ouvrages vulgarisation (CHAP-V</w:t>
      </w:r>
      <w:r w:rsidRPr="007104C6">
        <w:rPr>
          <w:b/>
          <w:i/>
        </w:rPr>
        <w:t>)</w:t>
      </w:r>
    </w:p>
    <w:p w14:paraId="687867CB" w14:textId="77777777" w:rsidR="004E4519" w:rsidRPr="007104C6" w:rsidRDefault="004E4519" w:rsidP="004E4519">
      <w:pPr>
        <w:ind w:left="1701" w:hanging="708"/>
      </w:pPr>
    </w:p>
    <w:p w14:paraId="6E32BB72" w14:textId="2DF0AABC" w:rsidR="004E4519" w:rsidRPr="007104C6" w:rsidRDefault="004E4519" w:rsidP="004E4519">
      <w:pPr>
        <w:rPr>
          <w:szCs w:val="20"/>
        </w:rPr>
      </w:pPr>
      <w:r w:rsidRPr="007104C6">
        <w:rPr>
          <w:szCs w:val="20"/>
        </w:rPr>
        <w:t xml:space="preserve">- Maureille B., Mann A., Beauval C., Bordes J.-G., Bourguignon L., Costamagno S., Couchoud I., Fauquignon J., Garralda M. D., Geigl E.-M., Grün R., Guibert P., Lacrampe-Cuyaubère Fr., Laroulandie V., Marquet J.-Cl., </w:t>
      </w:r>
      <w:r w:rsidRPr="007104C6">
        <w:rPr>
          <w:b/>
          <w:szCs w:val="20"/>
        </w:rPr>
        <w:t>Meignen L</w:t>
      </w:r>
      <w:r w:rsidRPr="007104C6">
        <w:rPr>
          <w:szCs w:val="20"/>
        </w:rPr>
        <w:t xml:space="preserve">., Mussini C., Rendu W., Royer A., Seguin G. et Texier J.-P. Les Pradelles à Marillac-le-Franc (Charente). Fouilles 2001-2007 : nouveaux résultats et synthèse  (2010). In </w:t>
      </w:r>
      <w:r w:rsidRPr="007104C6">
        <w:rPr>
          <w:i/>
          <w:szCs w:val="20"/>
        </w:rPr>
        <w:t>Préhistoire entre Vienne et Charente. Hommes et sociétés du Paléolithique.</w:t>
      </w:r>
      <w:r w:rsidRPr="007104C6">
        <w:rPr>
          <w:szCs w:val="20"/>
        </w:rPr>
        <w:t xml:space="preserve"> </w:t>
      </w:r>
      <w:r w:rsidR="00B24761" w:rsidRPr="007104C6">
        <w:rPr>
          <w:szCs w:val="20"/>
        </w:rPr>
        <w:t>Buis</w:t>
      </w:r>
      <w:r w:rsidR="00B24761">
        <w:rPr>
          <w:szCs w:val="20"/>
        </w:rPr>
        <w:t>son-Catil J. et Primault J. (éd</w:t>
      </w:r>
      <w:r w:rsidR="00B24761" w:rsidRPr="007104C6">
        <w:rPr>
          <w:szCs w:val="20"/>
        </w:rPr>
        <w:t>),</w:t>
      </w:r>
      <w:r w:rsidR="00B24761" w:rsidRPr="007104C6">
        <w:rPr>
          <w:i/>
          <w:szCs w:val="20"/>
        </w:rPr>
        <w:t xml:space="preserve"> </w:t>
      </w:r>
      <w:r w:rsidRPr="007104C6">
        <w:rPr>
          <w:szCs w:val="20"/>
        </w:rPr>
        <w:t>Association des publications chauvinoises, mém. XXXVIII. Chauvigny : APC, pp. 145-162.</w:t>
      </w:r>
    </w:p>
    <w:p w14:paraId="238BACF4" w14:textId="77777777" w:rsidR="00B24761" w:rsidRDefault="00B24761" w:rsidP="004E4519"/>
    <w:p w14:paraId="6BCBEADE" w14:textId="58C0FE81" w:rsidR="004E4519" w:rsidRDefault="004E4519" w:rsidP="004E4519">
      <w:pPr>
        <w:rPr>
          <w:szCs w:val="20"/>
        </w:rPr>
      </w:pPr>
      <w:r w:rsidRPr="007104C6">
        <w:t xml:space="preserve">- </w:t>
      </w:r>
      <w:r w:rsidRPr="007104C6" w:rsidDel="002231D3">
        <w:rPr>
          <w:b/>
        </w:rPr>
        <w:t>Meignen, L.,</w:t>
      </w:r>
      <w:r w:rsidRPr="007104C6" w:rsidDel="002231D3">
        <w:t xml:space="preserve"> Costamagno, S., Bourguignon L., Beauval, C., Maureille, B. (2010). Approche interdisciplinaire d'une halte de chasse au Paléolithique moyen. </w:t>
      </w:r>
      <w:r w:rsidRPr="007104C6">
        <w:rPr>
          <w:szCs w:val="20"/>
        </w:rPr>
        <w:t xml:space="preserve">In </w:t>
      </w:r>
      <w:r w:rsidRPr="007104C6">
        <w:rPr>
          <w:i/>
          <w:szCs w:val="20"/>
        </w:rPr>
        <w:t>Préhistoire entre Vienne et Charente. Hommes et sociétés du Paléolithique.</w:t>
      </w:r>
      <w:r w:rsidRPr="007104C6">
        <w:rPr>
          <w:szCs w:val="20"/>
        </w:rPr>
        <w:t xml:space="preserve"> </w:t>
      </w:r>
      <w:r w:rsidR="00B24761" w:rsidRPr="007104C6">
        <w:rPr>
          <w:szCs w:val="20"/>
        </w:rPr>
        <w:t>Buisson-Catil J. et Primaul</w:t>
      </w:r>
      <w:r w:rsidR="00B24761">
        <w:rPr>
          <w:szCs w:val="20"/>
        </w:rPr>
        <w:t>t J. (éd</w:t>
      </w:r>
      <w:r w:rsidR="00B24761" w:rsidRPr="007104C6">
        <w:rPr>
          <w:szCs w:val="20"/>
        </w:rPr>
        <w:t>),</w:t>
      </w:r>
      <w:r w:rsidR="00B24761" w:rsidRPr="007104C6">
        <w:rPr>
          <w:i/>
          <w:szCs w:val="20"/>
        </w:rPr>
        <w:t xml:space="preserve"> </w:t>
      </w:r>
      <w:r w:rsidRPr="007104C6">
        <w:rPr>
          <w:szCs w:val="20"/>
        </w:rPr>
        <w:t>Association des publications chauvinoises, mém. XXXVIII. Chauvigny : APC, pp.163-166.</w:t>
      </w:r>
    </w:p>
    <w:p w14:paraId="45D9CFF2" w14:textId="1705C7D6" w:rsidR="00CB1D17" w:rsidRPr="00CB1D17" w:rsidRDefault="00B24761" w:rsidP="00CB1D17">
      <w:pPr>
        <w:pStyle w:val="refbibli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B1D17" w:rsidRPr="00B24761">
        <w:rPr>
          <w:rFonts w:asciiTheme="minorHAnsi" w:hAnsiTheme="minorHAnsi"/>
          <w:b/>
        </w:rPr>
        <w:t>Meignen, L.</w:t>
      </w:r>
      <w:r>
        <w:rPr>
          <w:rFonts w:asciiTheme="minorHAnsi" w:hAnsiTheme="minorHAnsi"/>
        </w:rPr>
        <w:t xml:space="preserve"> </w:t>
      </w:r>
      <w:r w:rsidR="00CB1D17" w:rsidRPr="00CB1D17">
        <w:rPr>
          <w:rFonts w:asciiTheme="minorHAnsi" w:hAnsiTheme="minorHAnsi"/>
        </w:rPr>
        <w:t xml:space="preserve"> (2017) </w:t>
      </w:r>
      <w:r>
        <w:rPr>
          <w:rFonts w:asciiTheme="minorHAnsi" w:hAnsiTheme="minorHAnsi"/>
        </w:rPr>
        <w:t xml:space="preserve"> </w:t>
      </w:r>
      <w:r w:rsidR="00CB1D17" w:rsidRPr="00CB1D17">
        <w:rPr>
          <w:rFonts w:asciiTheme="minorHAnsi" w:hAnsiTheme="minorHAnsi"/>
        </w:rPr>
        <w:t>Fin du Paléolithique moyen et débuts du Paléolithique supérieur au Levant. In « </w:t>
      </w:r>
      <w:r w:rsidR="00CB1D17" w:rsidRPr="00CB1D17">
        <w:rPr>
          <w:rFonts w:asciiTheme="minorHAnsi" w:hAnsiTheme="minorHAnsi"/>
          <w:i/>
        </w:rPr>
        <w:t>Le troisième Homme » Préhistoire de l’Altai</w:t>
      </w:r>
      <w:r w:rsidR="00CB1D17" w:rsidRPr="00CB1D17">
        <w:rPr>
          <w:rFonts w:asciiTheme="minorHAnsi" w:hAnsiTheme="minorHAnsi"/>
        </w:rPr>
        <w:t>. Catalogue d’exposition. Musée national de Préhistoire, pp134-143. Editions de la Réunion des musées nationaux, Paris .</w:t>
      </w:r>
    </w:p>
    <w:p w14:paraId="500B5519" w14:textId="53D02665" w:rsidR="00CB1D17" w:rsidRPr="00CB1D17" w:rsidRDefault="00B24761" w:rsidP="00CB1D17">
      <w:pPr>
        <w:pStyle w:val="refbibli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B1D17" w:rsidRPr="00B24761">
        <w:rPr>
          <w:rFonts w:asciiTheme="minorHAnsi" w:hAnsiTheme="minorHAnsi"/>
          <w:b/>
        </w:rPr>
        <w:t>Meignen, L.,</w:t>
      </w:r>
      <w:r w:rsidR="00CB1D17" w:rsidRPr="00CB1D17">
        <w:rPr>
          <w:rFonts w:asciiTheme="minorHAnsi" w:hAnsiTheme="minorHAnsi"/>
        </w:rPr>
        <w:t xml:space="preserve"> Valladas, H.  (2018)  Au Levant, quelles relations entre Néandertaliens et premiers Hommes modernes ? </w:t>
      </w:r>
      <w:r w:rsidR="00CB1D17" w:rsidRPr="00CB1D17">
        <w:rPr>
          <w:rFonts w:asciiTheme="minorHAnsi" w:hAnsiTheme="minorHAnsi"/>
          <w:i/>
        </w:rPr>
        <w:t>Dossiers d’Archéologie</w:t>
      </w:r>
      <w:r w:rsidR="00CB1D17" w:rsidRPr="00CB1D17">
        <w:rPr>
          <w:rFonts w:asciiTheme="minorHAnsi" w:hAnsiTheme="minorHAnsi"/>
        </w:rPr>
        <w:t xml:space="preserve"> (Hors série), 62-65.</w:t>
      </w:r>
    </w:p>
    <w:p w14:paraId="65B402BC" w14:textId="77777777" w:rsidR="00CB1D17" w:rsidRPr="007104C6" w:rsidRDefault="00CB1D17" w:rsidP="004E4519"/>
    <w:p w14:paraId="3D298D40" w14:textId="77777777" w:rsidR="004E4519" w:rsidRPr="007104C6" w:rsidRDefault="004E4519" w:rsidP="004E4519">
      <w:pPr>
        <w:rPr>
          <w:b/>
          <w:sz w:val="32"/>
        </w:rPr>
      </w:pPr>
    </w:p>
    <w:p w14:paraId="33272FDE" w14:textId="77777777" w:rsidR="00F23488" w:rsidRPr="007104C6" w:rsidRDefault="00F23488" w:rsidP="00F23488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</w:p>
    <w:sectPr w:rsidR="00F23488" w:rsidRPr="007104C6" w:rsidSect="00802085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65795" w14:textId="77777777" w:rsidR="00B24761" w:rsidRDefault="00B24761" w:rsidP="004F49F1">
      <w:pPr>
        <w:spacing w:after="0"/>
      </w:pPr>
      <w:r>
        <w:separator/>
      </w:r>
    </w:p>
  </w:endnote>
  <w:endnote w:type="continuationSeparator" w:id="0">
    <w:p w14:paraId="1D5E6FED" w14:textId="77777777" w:rsidR="00B24761" w:rsidRDefault="00B24761" w:rsidP="004F4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-Italic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DmytrwAdvTT3713a231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-Bold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77562" w14:textId="77777777" w:rsidR="00B24761" w:rsidRDefault="00B24761" w:rsidP="004F49F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0F147B" w14:textId="77777777" w:rsidR="00B24761" w:rsidRDefault="00B24761" w:rsidP="004F49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399F2" w14:textId="77777777" w:rsidR="00B24761" w:rsidRDefault="00B24761" w:rsidP="004F49F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D50B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FB5B2FA" w14:textId="77777777" w:rsidR="00B24761" w:rsidRDefault="00B24761" w:rsidP="004F49F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43311" w14:textId="77777777" w:rsidR="00B24761" w:rsidRDefault="00B24761" w:rsidP="004F49F1">
      <w:pPr>
        <w:spacing w:after="0"/>
      </w:pPr>
      <w:r>
        <w:separator/>
      </w:r>
    </w:p>
  </w:footnote>
  <w:footnote w:type="continuationSeparator" w:id="0">
    <w:p w14:paraId="4F1260B9" w14:textId="77777777" w:rsidR="00B24761" w:rsidRDefault="00B24761" w:rsidP="004F49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03A"/>
    <w:multiLevelType w:val="hybridMultilevel"/>
    <w:tmpl w:val="263AE510"/>
    <w:lvl w:ilvl="0" w:tplc="61CC6A36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2D20"/>
    <w:multiLevelType w:val="hybridMultilevel"/>
    <w:tmpl w:val="C606703E"/>
    <w:lvl w:ilvl="0" w:tplc="278681B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6CCA"/>
    <w:multiLevelType w:val="hybridMultilevel"/>
    <w:tmpl w:val="32B4A4D8"/>
    <w:lvl w:ilvl="0" w:tplc="C31C8D2C">
      <w:start w:val="26"/>
      <w:numFmt w:val="bullet"/>
      <w:lvlText w:val="-"/>
      <w:lvlJc w:val="left"/>
      <w:pPr>
        <w:ind w:left="1353" w:hanging="360"/>
      </w:pPr>
      <w:rPr>
        <w:rFonts w:ascii="TimesNewRomanPS-ItalicMT" w:eastAsiaTheme="minorEastAsia" w:hAnsi="TimesNewRomanPS-ItalicMT" w:cs="TimesNewRomanPS-ItalicMT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F9B5F2D"/>
    <w:multiLevelType w:val="hybridMultilevel"/>
    <w:tmpl w:val="38522976"/>
    <w:lvl w:ilvl="0" w:tplc="0DFCF024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669A2"/>
    <w:multiLevelType w:val="hybridMultilevel"/>
    <w:tmpl w:val="E78EEA68"/>
    <w:lvl w:ilvl="0" w:tplc="BB240DE2">
      <w:start w:val="28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31004"/>
    <w:multiLevelType w:val="hybridMultilevel"/>
    <w:tmpl w:val="824E4966"/>
    <w:lvl w:ilvl="0" w:tplc="B44C4870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C23FD"/>
    <w:multiLevelType w:val="hybridMultilevel"/>
    <w:tmpl w:val="915ACD24"/>
    <w:lvl w:ilvl="0" w:tplc="5B9E2D06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B77F9"/>
    <w:multiLevelType w:val="hybridMultilevel"/>
    <w:tmpl w:val="4582E54C"/>
    <w:lvl w:ilvl="0" w:tplc="2612F4C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064DC"/>
    <w:multiLevelType w:val="hybridMultilevel"/>
    <w:tmpl w:val="28022FF2"/>
    <w:lvl w:ilvl="0" w:tplc="37A05D0C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E2"/>
    <w:rsid w:val="00002BBE"/>
    <w:rsid w:val="00017C31"/>
    <w:rsid w:val="0002452B"/>
    <w:rsid w:val="00036BB9"/>
    <w:rsid w:val="0004595C"/>
    <w:rsid w:val="00046A0A"/>
    <w:rsid w:val="0005505C"/>
    <w:rsid w:val="000570F2"/>
    <w:rsid w:val="000652C4"/>
    <w:rsid w:val="000749CF"/>
    <w:rsid w:val="000C1EAC"/>
    <w:rsid w:val="000C37A3"/>
    <w:rsid w:val="000D761A"/>
    <w:rsid w:val="000E49C4"/>
    <w:rsid w:val="00101196"/>
    <w:rsid w:val="00114A07"/>
    <w:rsid w:val="00115630"/>
    <w:rsid w:val="00123666"/>
    <w:rsid w:val="0012578A"/>
    <w:rsid w:val="0013033D"/>
    <w:rsid w:val="001322D1"/>
    <w:rsid w:val="00157489"/>
    <w:rsid w:val="0017202D"/>
    <w:rsid w:val="00182F0B"/>
    <w:rsid w:val="00193AFD"/>
    <w:rsid w:val="001A17A1"/>
    <w:rsid w:val="001C279B"/>
    <w:rsid w:val="001D3F0D"/>
    <w:rsid w:val="001D77CE"/>
    <w:rsid w:val="001E5DDC"/>
    <w:rsid w:val="001F16F8"/>
    <w:rsid w:val="00205FA0"/>
    <w:rsid w:val="00221E09"/>
    <w:rsid w:val="0023056F"/>
    <w:rsid w:val="002379F2"/>
    <w:rsid w:val="00245F80"/>
    <w:rsid w:val="002637A3"/>
    <w:rsid w:val="00267B18"/>
    <w:rsid w:val="002720C7"/>
    <w:rsid w:val="002814F8"/>
    <w:rsid w:val="0028164C"/>
    <w:rsid w:val="002975DD"/>
    <w:rsid w:val="002A0EBE"/>
    <w:rsid w:val="002A5ECC"/>
    <w:rsid w:val="002B4D77"/>
    <w:rsid w:val="003125BD"/>
    <w:rsid w:val="003467BF"/>
    <w:rsid w:val="00347CA2"/>
    <w:rsid w:val="003567B8"/>
    <w:rsid w:val="00366450"/>
    <w:rsid w:val="00397E9C"/>
    <w:rsid w:val="003B2483"/>
    <w:rsid w:val="003B6053"/>
    <w:rsid w:val="003F65E0"/>
    <w:rsid w:val="003F73CB"/>
    <w:rsid w:val="003F77DB"/>
    <w:rsid w:val="00401375"/>
    <w:rsid w:val="0041214B"/>
    <w:rsid w:val="00415CD3"/>
    <w:rsid w:val="00446057"/>
    <w:rsid w:val="00456AB8"/>
    <w:rsid w:val="004767F1"/>
    <w:rsid w:val="00493EA8"/>
    <w:rsid w:val="00496F19"/>
    <w:rsid w:val="004A72E9"/>
    <w:rsid w:val="004C398E"/>
    <w:rsid w:val="004C5658"/>
    <w:rsid w:val="004C6037"/>
    <w:rsid w:val="004D50B3"/>
    <w:rsid w:val="004E1A13"/>
    <w:rsid w:val="004E4519"/>
    <w:rsid w:val="004E72F0"/>
    <w:rsid w:val="004F1C7D"/>
    <w:rsid w:val="004F49F1"/>
    <w:rsid w:val="00505AF3"/>
    <w:rsid w:val="0051305F"/>
    <w:rsid w:val="005159A5"/>
    <w:rsid w:val="005255DD"/>
    <w:rsid w:val="0054549E"/>
    <w:rsid w:val="0057233A"/>
    <w:rsid w:val="00587DB8"/>
    <w:rsid w:val="005A6AB0"/>
    <w:rsid w:val="005B418F"/>
    <w:rsid w:val="005B7E7A"/>
    <w:rsid w:val="005C5ACF"/>
    <w:rsid w:val="005D0561"/>
    <w:rsid w:val="005F32C5"/>
    <w:rsid w:val="00621447"/>
    <w:rsid w:val="006234D6"/>
    <w:rsid w:val="0062630F"/>
    <w:rsid w:val="00637B2C"/>
    <w:rsid w:val="00652422"/>
    <w:rsid w:val="0067071D"/>
    <w:rsid w:val="00695A18"/>
    <w:rsid w:val="006B69E2"/>
    <w:rsid w:val="006B72D3"/>
    <w:rsid w:val="006B78F1"/>
    <w:rsid w:val="006C44BA"/>
    <w:rsid w:val="006C503D"/>
    <w:rsid w:val="006C7418"/>
    <w:rsid w:val="006F5CDB"/>
    <w:rsid w:val="006F65F7"/>
    <w:rsid w:val="007013C0"/>
    <w:rsid w:val="00703750"/>
    <w:rsid w:val="007104C6"/>
    <w:rsid w:val="00717408"/>
    <w:rsid w:val="00726FB4"/>
    <w:rsid w:val="0073615C"/>
    <w:rsid w:val="00741DE0"/>
    <w:rsid w:val="0074226C"/>
    <w:rsid w:val="0075335A"/>
    <w:rsid w:val="007576AD"/>
    <w:rsid w:val="00780B50"/>
    <w:rsid w:val="00790511"/>
    <w:rsid w:val="007A4828"/>
    <w:rsid w:val="007B7C3C"/>
    <w:rsid w:val="007D59EC"/>
    <w:rsid w:val="00802085"/>
    <w:rsid w:val="008100B0"/>
    <w:rsid w:val="00815695"/>
    <w:rsid w:val="00816664"/>
    <w:rsid w:val="008247F9"/>
    <w:rsid w:val="00827B18"/>
    <w:rsid w:val="0083046D"/>
    <w:rsid w:val="00843B99"/>
    <w:rsid w:val="008619AC"/>
    <w:rsid w:val="00863EB9"/>
    <w:rsid w:val="00867A18"/>
    <w:rsid w:val="008702FE"/>
    <w:rsid w:val="008769C5"/>
    <w:rsid w:val="008945D9"/>
    <w:rsid w:val="008B761D"/>
    <w:rsid w:val="008D275D"/>
    <w:rsid w:val="009018DB"/>
    <w:rsid w:val="009153AE"/>
    <w:rsid w:val="00917535"/>
    <w:rsid w:val="00923244"/>
    <w:rsid w:val="009233B6"/>
    <w:rsid w:val="009455EB"/>
    <w:rsid w:val="00945940"/>
    <w:rsid w:val="00956F6F"/>
    <w:rsid w:val="00997F21"/>
    <w:rsid w:val="009A2ED4"/>
    <w:rsid w:val="009B2B84"/>
    <w:rsid w:val="009C3CBE"/>
    <w:rsid w:val="009E4E40"/>
    <w:rsid w:val="009F468E"/>
    <w:rsid w:val="009F7800"/>
    <w:rsid w:val="009F7842"/>
    <w:rsid w:val="00A03B10"/>
    <w:rsid w:val="00A11FA1"/>
    <w:rsid w:val="00A14829"/>
    <w:rsid w:val="00A34BDE"/>
    <w:rsid w:val="00A576BC"/>
    <w:rsid w:val="00A668AF"/>
    <w:rsid w:val="00A745A2"/>
    <w:rsid w:val="00A74EA3"/>
    <w:rsid w:val="00A759F9"/>
    <w:rsid w:val="00A818B8"/>
    <w:rsid w:val="00A83288"/>
    <w:rsid w:val="00A83559"/>
    <w:rsid w:val="00AC63FF"/>
    <w:rsid w:val="00AC7FEB"/>
    <w:rsid w:val="00AD50C4"/>
    <w:rsid w:val="00AE5A0F"/>
    <w:rsid w:val="00B103E1"/>
    <w:rsid w:val="00B12975"/>
    <w:rsid w:val="00B24761"/>
    <w:rsid w:val="00B31FF4"/>
    <w:rsid w:val="00B324FC"/>
    <w:rsid w:val="00B43AC4"/>
    <w:rsid w:val="00B509F4"/>
    <w:rsid w:val="00B56D32"/>
    <w:rsid w:val="00B65648"/>
    <w:rsid w:val="00B75DF7"/>
    <w:rsid w:val="00BA559D"/>
    <w:rsid w:val="00BB6C40"/>
    <w:rsid w:val="00C00800"/>
    <w:rsid w:val="00C145DE"/>
    <w:rsid w:val="00C357F8"/>
    <w:rsid w:val="00C43131"/>
    <w:rsid w:val="00C4613D"/>
    <w:rsid w:val="00C57003"/>
    <w:rsid w:val="00C83FA7"/>
    <w:rsid w:val="00C85D42"/>
    <w:rsid w:val="00CA3474"/>
    <w:rsid w:val="00CA669C"/>
    <w:rsid w:val="00CA6953"/>
    <w:rsid w:val="00CB1D17"/>
    <w:rsid w:val="00CE36FC"/>
    <w:rsid w:val="00CF1B64"/>
    <w:rsid w:val="00CF24E8"/>
    <w:rsid w:val="00D0014E"/>
    <w:rsid w:val="00D03776"/>
    <w:rsid w:val="00D21B79"/>
    <w:rsid w:val="00D25641"/>
    <w:rsid w:val="00D26A72"/>
    <w:rsid w:val="00D33FF5"/>
    <w:rsid w:val="00D63FE3"/>
    <w:rsid w:val="00D64053"/>
    <w:rsid w:val="00D77099"/>
    <w:rsid w:val="00D84C81"/>
    <w:rsid w:val="00D85169"/>
    <w:rsid w:val="00D9181F"/>
    <w:rsid w:val="00D93696"/>
    <w:rsid w:val="00DB001B"/>
    <w:rsid w:val="00DC25E6"/>
    <w:rsid w:val="00DD53CB"/>
    <w:rsid w:val="00DD76F9"/>
    <w:rsid w:val="00DF1047"/>
    <w:rsid w:val="00E12441"/>
    <w:rsid w:val="00E168B5"/>
    <w:rsid w:val="00E414D0"/>
    <w:rsid w:val="00E7098F"/>
    <w:rsid w:val="00E82589"/>
    <w:rsid w:val="00E82E57"/>
    <w:rsid w:val="00E9397E"/>
    <w:rsid w:val="00E93D02"/>
    <w:rsid w:val="00E94063"/>
    <w:rsid w:val="00EA15A6"/>
    <w:rsid w:val="00EA3311"/>
    <w:rsid w:val="00EB35B2"/>
    <w:rsid w:val="00EB42B6"/>
    <w:rsid w:val="00EF27FE"/>
    <w:rsid w:val="00EF6BE9"/>
    <w:rsid w:val="00F23488"/>
    <w:rsid w:val="00F234EF"/>
    <w:rsid w:val="00F32D83"/>
    <w:rsid w:val="00F4084D"/>
    <w:rsid w:val="00F549ED"/>
    <w:rsid w:val="00F628F7"/>
    <w:rsid w:val="00F74B92"/>
    <w:rsid w:val="00F80C2C"/>
    <w:rsid w:val="00F81815"/>
    <w:rsid w:val="00F92D2C"/>
    <w:rsid w:val="00FB0F78"/>
    <w:rsid w:val="00FB6B7E"/>
    <w:rsid w:val="00FD60BB"/>
    <w:rsid w:val="00FE40E9"/>
    <w:rsid w:val="00FE434B"/>
    <w:rsid w:val="00FF07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196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75"/>
  </w:style>
  <w:style w:type="paragraph" w:styleId="Titre1">
    <w:name w:val="heading 1"/>
    <w:basedOn w:val="Normal"/>
    <w:next w:val="Normal"/>
    <w:link w:val="Titre1Car"/>
    <w:qFormat/>
    <w:rsid w:val="005159A5"/>
    <w:pPr>
      <w:keepNext/>
      <w:spacing w:after="0"/>
      <w:ind w:left="720" w:hanging="720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C83FA7"/>
    <w:rPr>
      <w:b/>
      <w:bCs/>
    </w:rPr>
  </w:style>
  <w:style w:type="paragraph" w:styleId="Paragraphedeliste">
    <w:name w:val="List Paragraph"/>
    <w:basedOn w:val="Normal"/>
    <w:uiPriority w:val="34"/>
    <w:qFormat/>
    <w:rsid w:val="00C83FA7"/>
    <w:pPr>
      <w:ind w:left="720"/>
      <w:contextualSpacing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rsid w:val="00C83FA7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7">
    <w:name w:val="A7"/>
    <w:uiPriority w:val="99"/>
    <w:rsid w:val="009233B6"/>
    <w:rPr>
      <w:rFonts w:cs="Optima"/>
      <w:color w:val="000000"/>
      <w:sz w:val="22"/>
      <w:szCs w:val="22"/>
    </w:rPr>
  </w:style>
  <w:style w:type="paragraph" w:customStyle="1" w:styleId="Default">
    <w:name w:val="Default"/>
    <w:rsid w:val="00D33FF5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color w:val="000000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4F49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F49F1"/>
  </w:style>
  <w:style w:type="character" w:styleId="Numrodepage">
    <w:name w:val="page number"/>
    <w:basedOn w:val="Policepardfaut"/>
    <w:uiPriority w:val="99"/>
    <w:semiHidden/>
    <w:unhideWhenUsed/>
    <w:rsid w:val="004F49F1"/>
  </w:style>
  <w:style w:type="paragraph" w:styleId="Textebrut">
    <w:name w:val="Plain Text"/>
    <w:basedOn w:val="Normal"/>
    <w:link w:val="TextebrutCar"/>
    <w:rsid w:val="00FB0F78"/>
    <w:pPr>
      <w:autoSpaceDE w:val="0"/>
      <w:autoSpaceDN w:val="0"/>
      <w:spacing w:after="0"/>
    </w:pPr>
    <w:rPr>
      <w:rFonts w:ascii="Times" w:eastAsia="Times New Roman" w:hAnsi="Times" w:cs="Times New Roman"/>
      <w:sz w:val="20"/>
      <w:szCs w:val="20"/>
      <w:lang w:val="en-US" w:eastAsia="fr-FR"/>
    </w:rPr>
  </w:style>
  <w:style w:type="character" w:customStyle="1" w:styleId="TextebrutCar">
    <w:name w:val="Texte brut Car"/>
    <w:basedOn w:val="Policepardfaut"/>
    <w:link w:val="Textebrut"/>
    <w:rsid w:val="00FB0F78"/>
    <w:rPr>
      <w:rFonts w:ascii="Times" w:eastAsia="Times New Roman" w:hAnsi="Times" w:cs="Times New Roman"/>
      <w:sz w:val="20"/>
      <w:szCs w:val="20"/>
      <w:lang w:val="en-US" w:eastAsia="fr-FR"/>
    </w:rPr>
  </w:style>
  <w:style w:type="character" w:customStyle="1" w:styleId="Titre1Car">
    <w:name w:val="Titre 1 Car"/>
    <w:basedOn w:val="Policepardfaut"/>
    <w:link w:val="Titre1"/>
    <w:rsid w:val="005159A5"/>
    <w:rPr>
      <w:rFonts w:ascii="Times New Roman" w:eastAsia="Times New Roman" w:hAnsi="Times New Roman" w:cs="Times New Roman"/>
      <w:b/>
      <w:sz w:val="20"/>
      <w:szCs w:val="20"/>
      <w:lang w:val="x-none" w:eastAsia="fr-FR"/>
    </w:rPr>
  </w:style>
  <w:style w:type="paragraph" w:customStyle="1" w:styleId="refbiblio">
    <w:name w:val="refbiblio"/>
    <w:basedOn w:val="Normal"/>
    <w:rsid w:val="000C1EA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75"/>
  </w:style>
  <w:style w:type="paragraph" w:styleId="Titre1">
    <w:name w:val="heading 1"/>
    <w:basedOn w:val="Normal"/>
    <w:next w:val="Normal"/>
    <w:link w:val="Titre1Car"/>
    <w:qFormat/>
    <w:rsid w:val="005159A5"/>
    <w:pPr>
      <w:keepNext/>
      <w:spacing w:after="0"/>
      <w:ind w:left="720" w:hanging="720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C83FA7"/>
    <w:rPr>
      <w:b/>
      <w:bCs/>
    </w:rPr>
  </w:style>
  <w:style w:type="paragraph" w:styleId="Paragraphedeliste">
    <w:name w:val="List Paragraph"/>
    <w:basedOn w:val="Normal"/>
    <w:uiPriority w:val="34"/>
    <w:qFormat/>
    <w:rsid w:val="00C83FA7"/>
    <w:pPr>
      <w:ind w:left="720"/>
      <w:contextualSpacing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rsid w:val="00C83FA7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7">
    <w:name w:val="A7"/>
    <w:uiPriority w:val="99"/>
    <w:rsid w:val="009233B6"/>
    <w:rPr>
      <w:rFonts w:cs="Optima"/>
      <w:color w:val="000000"/>
      <w:sz w:val="22"/>
      <w:szCs w:val="22"/>
    </w:rPr>
  </w:style>
  <w:style w:type="paragraph" w:customStyle="1" w:styleId="Default">
    <w:name w:val="Default"/>
    <w:rsid w:val="00D33FF5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color w:val="000000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4F49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F49F1"/>
  </w:style>
  <w:style w:type="character" w:styleId="Numrodepage">
    <w:name w:val="page number"/>
    <w:basedOn w:val="Policepardfaut"/>
    <w:uiPriority w:val="99"/>
    <w:semiHidden/>
    <w:unhideWhenUsed/>
    <w:rsid w:val="004F49F1"/>
  </w:style>
  <w:style w:type="paragraph" w:styleId="Textebrut">
    <w:name w:val="Plain Text"/>
    <w:basedOn w:val="Normal"/>
    <w:link w:val="TextebrutCar"/>
    <w:rsid w:val="00FB0F78"/>
    <w:pPr>
      <w:autoSpaceDE w:val="0"/>
      <w:autoSpaceDN w:val="0"/>
      <w:spacing w:after="0"/>
    </w:pPr>
    <w:rPr>
      <w:rFonts w:ascii="Times" w:eastAsia="Times New Roman" w:hAnsi="Times" w:cs="Times New Roman"/>
      <w:sz w:val="20"/>
      <w:szCs w:val="20"/>
      <w:lang w:val="en-US" w:eastAsia="fr-FR"/>
    </w:rPr>
  </w:style>
  <w:style w:type="character" w:customStyle="1" w:styleId="TextebrutCar">
    <w:name w:val="Texte brut Car"/>
    <w:basedOn w:val="Policepardfaut"/>
    <w:link w:val="Textebrut"/>
    <w:rsid w:val="00FB0F78"/>
    <w:rPr>
      <w:rFonts w:ascii="Times" w:eastAsia="Times New Roman" w:hAnsi="Times" w:cs="Times New Roman"/>
      <w:sz w:val="20"/>
      <w:szCs w:val="20"/>
      <w:lang w:val="en-US" w:eastAsia="fr-FR"/>
    </w:rPr>
  </w:style>
  <w:style w:type="character" w:customStyle="1" w:styleId="Titre1Car">
    <w:name w:val="Titre 1 Car"/>
    <w:basedOn w:val="Policepardfaut"/>
    <w:link w:val="Titre1"/>
    <w:rsid w:val="005159A5"/>
    <w:rPr>
      <w:rFonts w:ascii="Times New Roman" w:eastAsia="Times New Roman" w:hAnsi="Times New Roman" w:cs="Times New Roman"/>
      <w:b/>
      <w:sz w:val="20"/>
      <w:szCs w:val="20"/>
      <w:lang w:val="x-none" w:eastAsia="fr-FR"/>
    </w:rPr>
  </w:style>
  <w:style w:type="paragraph" w:customStyle="1" w:styleId="refbiblio">
    <w:name w:val="refbiblio"/>
    <w:basedOn w:val="Normal"/>
    <w:rsid w:val="000C1EA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retouchingthepalaeolithic.files.wordpress.com/2017/10/costamagnos_bone-retouchers-and-site-function.pdf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1864</Words>
  <Characters>10258</Characters>
  <Application>Microsoft Macintosh Word</Application>
  <DocSecurity>0</DocSecurity>
  <Lines>85</Lines>
  <Paragraphs>24</Paragraphs>
  <ScaleCrop>false</ScaleCrop>
  <Company>CEPAM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CNRS CNRS</dc:creator>
  <cp:keywords/>
  <cp:lastModifiedBy>CNRS CNRS</cp:lastModifiedBy>
  <cp:revision>6</cp:revision>
  <cp:lastPrinted>2016-01-07T14:13:00Z</cp:lastPrinted>
  <dcterms:created xsi:type="dcterms:W3CDTF">2018-05-16T10:11:00Z</dcterms:created>
  <dcterms:modified xsi:type="dcterms:W3CDTF">2018-05-16T12:31:00Z</dcterms:modified>
</cp:coreProperties>
</file>